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AF" w:rsidRDefault="00A2108C" w:rsidP="00715153">
      <w:pPr>
        <w:ind w:right="-82"/>
        <w:jc w:val="center"/>
      </w:pPr>
      <w:r>
        <w:rPr>
          <w:u w:val="single"/>
        </w:rPr>
        <w:t xml:space="preserve">DISCIPLINARE DI GARA </w:t>
      </w:r>
      <w:r w:rsidR="004753A5">
        <w:rPr>
          <w:u w:val="single"/>
        </w:rPr>
        <w:t xml:space="preserve">E </w:t>
      </w:r>
      <w:r w:rsidR="00715153" w:rsidRPr="00E515C7">
        <w:rPr>
          <w:u w:val="single"/>
        </w:rPr>
        <w:t>CONDIZIONI PARTICOLARI DI CONTRATTO</w:t>
      </w:r>
    </w:p>
    <w:p w:rsidR="006819AF" w:rsidRDefault="006819AF" w:rsidP="00B73EA7">
      <w:pPr>
        <w:ind w:right="-82"/>
        <w:jc w:val="both"/>
        <w:rPr>
          <w:rFonts w:ascii="Arial" w:hAnsi="Arial" w:cs="Arial"/>
          <w:b/>
          <w:color w:val="000000"/>
        </w:rPr>
      </w:pPr>
    </w:p>
    <w:p w:rsidR="009D6FD2" w:rsidRDefault="003D2624" w:rsidP="004753A5">
      <w:pPr>
        <w:ind w:right="-82"/>
        <w:jc w:val="center"/>
        <w:rPr>
          <w:u w:val="single"/>
        </w:rPr>
      </w:pPr>
      <w:r>
        <w:rPr>
          <w:u w:val="single"/>
        </w:rPr>
        <w:t>SERVIZI POSTALI DELLA PRESIDENZA DEL CONSIGLIO DEI MINISTRI</w:t>
      </w:r>
    </w:p>
    <w:p w:rsidR="003D2624" w:rsidRDefault="003D2624" w:rsidP="00B73EA7">
      <w:pPr>
        <w:ind w:right="-82"/>
        <w:jc w:val="both"/>
        <w:rPr>
          <w:u w:val="single"/>
        </w:rPr>
      </w:pPr>
    </w:p>
    <w:p w:rsidR="00AF7B74" w:rsidRPr="00480137" w:rsidRDefault="003D2624" w:rsidP="00AF7B74">
      <w:pPr>
        <w:shd w:val="clear" w:color="auto" w:fill="FFFFFF"/>
        <w:spacing w:before="2" w:after="2"/>
        <w:outlineLvl w:val="2"/>
        <w:rPr>
          <w:rFonts w:ascii="Arial" w:hAnsi="Arial" w:cs="Arial"/>
          <w:b/>
          <w:color w:val="000000"/>
        </w:rPr>
      </w:pPr>
      <w:r w:rsidRPr="00480137">
        <w:rPr>
          <w:b/>
          <w:u w:val="single"/>
        </w:rPr>
        <w:t xml:space="preserve">CIG : </w:t>
      </w:r>
    </w:p>
    <w:p w:rsidR="00AF7B74" w:rsidRDefault="00AF7B74" w:rsidP="00AF7B74">
      <w:pPr>
        <w:shd w:val="clear" w:color="auto" w:fill="FFFFFF"/>
        <w:spacing w:before="2" w:after="2"/>
        <w:outlineLvl w:val="2"/>
        <w:rPr>
          <w:rFonts w:ascii="Arial" w:hAnsi="Arial" w:cs="Arial"/>
          <w:b/>
          <w:color w:val="000000"/>
        </w:rPr>
      </w:pPr>
      <w:r>
        <w:rPr>
          <w:rFonts w:ascii="Arial" w:hAnsi="Arial" w:cs="Arial"/>
          <w:b/>
          <w:color w:val="000000"/>
        </w:rPr>
        <w:t>- n. 71206924ED  lotto 1</w:t>
      </w:r>
    </w:p>
    <w:p w:rsidR="00AF7B74" w:rsidRDefault="00AF7B74" w:rsidP="00AF7B74">
      <w:pPr>
        <w:shd w:val="clear" w:color="auto" w:fill="FFFFFF"/>
        <w:spacing w:before="2" w:after="2"/>
        <w:outlineLvl w:val="2"/>
        <w:rPr>
          <w:rFonts w:ascii="Arial" w:hAnsi="Arial" w:cs="Arial"/>
          <w:b/>
          <w:color w:val="000000"/>
        </w:rPr>
      </w:pPr>
      <w:r>
        <w:rPr>
          <w:rFonts w:ascii="Arial" w:hAnsi="Arial" w:cs="Arial"/>
          <w:b/>
          <w:color w:val="000000"/>
        </w:rPr>
        <w:t xml:space="preserve">- n. 7120694693   lotto 2                                               </w:t>
      </w:r>
    </w:p>
    <w:p w:rsidR="003D2624" w:rsidRDefault="003D2624" w:rsidP="00B73EA7">
      <w:pPr>
        <w:ind w:right="-82"/>
        <w:jc w:val="both"/>
        <w:rPr>
          <w:u w:val="single"/>
        </w:rPr>
      </w:pPr>
    </w:p>
    <w:p w:rsidR="008E37A9" w:rsidRDefault="008E37A9" w:rsidP="009A7B8C">
      <w:pPr>
        <w:ind w:right="-82"/>
        <w:jc w:val="both"/>
        <w:rPr>
          <w:spacing w:val="-4"/>
        </w:rPr>
      </w:pPr>
    </w:p>
    <w:p w:rsidR="009A7B8C" w:rsidRDefault="009A7B8C" w:rsidP="009A7B8C">
      <w:pPr>
        <w:ind w:right="-82"/>
        <w:jc w:val="both"/>
        <w:rPr>
          <w:spacing w:val="-4"/>
        </w:rPr>
      </w:pPr>
      <w:r w:rsidRPr="009A7B8C">
        <w:rPr>
          <w:spacing w:val="-4"/>
          <w:u w:val="single"/>
        </w:rPr>
        <w:t>DURATA DELL’AFFIDAMENTO</w:t>
      </w:r>
      <w:r>
        <w:rPr>
          <w:spacing w:val="-4"/>
        </w:rPr>
        <w:t xml:space="preserve"> </w:t>
      </w:r>
      <w:r w:rsidR="00C24F90">
        <w:rPr>
          <w:spacing w:val="-4"/>
        </w:rPr>
        <w:t xml:space="preserve"> (PER ENTRAMBI I LOTTI ) </w:t>
      </w:r>
      <w:r>
        <w:rPr>
          <w:spacing w:val="-4"/>
        </w:rPr>
        <w:t>: UN ANNO DALLA DATA DI AVVIO DEL SERVIZIO</w:t>
      </w:r>
    </w:p>
    <w:p w:rsidR="009A7B8C" w:rsidRDefault="009A7B8C" w:rsidP="009A7B8C">
      <w:pPr>
        <w:ind w:right="-82"/>
        <w:jc w:val="both"/>
        <w:rPr>
          <w:spacing w:val="-4"/>
        </w:rPr>
      </w:pPr>
      <w:r>
        <w:rPr>
          <w:spacing w:val="-4"/>
        </w:rPr>
        <w:t xml:space="preserve">  </w:t>
      </w:r>
    </w:p>
    <w:p w:rsidR="008E37A9" w:rsidRDefault="008E37A9" w:rsidP="00504D06">
      <w:pPr>
        <w:ind w:right="-82"/>
        <w:jc w:val="both"/>
        <w:rPr>
          <w:spacing w:val="-4"/>
        </w:rPr>
      </w:pPr>
      <w:r>
        <w:rPr>
          <w:spacing w:val="-4"/>
        </w:rPr>
        <w:t xml:space="preserve">Per </w:t>
      </w:r>
      <w:r w:rsidR="00504D06">
        <w:rPr>
          <w:spacing w:val="-4"/>
        </w:rPr>
        <w:t xml:space="preserve">i </w:t>
      </w:r>
      <w:r>
        <w:rPr>
          <w:spacing w:val="-4"/>
        </w:rPr>
        <w:t>dettagli</w:t>
      </w:r>
      <w:r w:rsidR="00931138">
        <w:rPr>
          <w:spacing w:val="-4"/>
        </w:rPr>
        <w:t xml:space="preserve"> sul servizio da svolgere </w:t>
      </w:r>
      <w:r>
        <w:rPr>
          <w:spacing w:val="-4"/>
        </w:rPr>
        <w:t xml:space="preserve"> v. DOCUME</w:t>
      </w:r>
      <w:r w:rsidR="00504D06">
        <w:rPr>
          <w:spacing w:val="-4"/>
        </w:rPr>
        <w:t xml:space="preserve">NTO TECNICO DI SINTESI allegato </w:t>
      </w:r>
      <w:r>
        <w:rPr>
          <w:spacing w:val="-4"/>
        </w:rPr>
        <w:t xml:space="preserve">all’RdO </w:t>
      </w:r>
    </w:p>
    <w:p w:rsidR="008E37A9" w:rsidRDefault="008E37A9" w:rsidP="008E37A9">
      <w:pPr>
        <w:ind w:left="720" w:right="-82"/>
        <w:jc w:val="both"/>
        <w:rPr>
          <w:spacing w:val="-4"/>
        </w:rPr>
      </w:pPr>
    </w:p>
    <w:p w:rsidR="00A2108C" w:rsidRDefault="00A2108C" w:rsidP="00A2108C">
      <w:pPr>
        <w:ind w:firstLine="709"/>
      </w:pPr>
      <w:r>
        <w:t>Il presente disciplinare di gara contiene norme relative:</w:t>
      </w:r>
    </w:p>
    <w:p w:rsidR="00A2108C" w:rsidRDefault="00A2108C" w:rsidP="00A2108C">
      <w:pPr>
        <w:ind w:firstLine="709"/>
      </w:pPr>
    </w:p>
    <w:p w:rsidR="00A2108C" w:rsidRDefault="00A2108C" w:rsidP="00A2108C">
      <w:r>
        <w:t>- alle modalità di partecipazione alla procedura di gara indetta dalla PCM;</w:t>
      </w:r>
    </w:p>
    <w:p w:rsidR="00A2108C" w:rsidRDefault="00A2108C" w:rsidP="00A2108C">
      <w:r>
        <w:t>- alle modalità di compilazione e presentazione dell'offerta;</w:t>
      </w:r>
    </w:p>
    <w:p w:rsidR="00A2108C" w:rsidRDefault="00A2108C" w:rsidP="00A2108C">
      <w:r>
        <w:t>- ai documenti da presentare a corredo della stessa;</w:t>
      </w:r>
    </w:p>
    <w:p w:rsidR="00A2108C" w:rsidRDefault="00A2108C" w:rsidP="00A2108C">
      <w:r>
        <w:t>- alla procedura di aggiudicazione.</w:t>
      </w:r>
    </w:p>
    <w:p w:rsidR="00A2108C" w:rsidRDefault="00A2108C" w:rsidP="00A2108C">
      <w:pPr>
        <w:ind w:right="-82" w:firstLine="709"/>
        <w:jc w:val="both"/>
      </w:pPr>
    </w:p>
    <w:p w:rsidR="00ED521A" w:rsidRPr="00C24F90" w:rsidRDefault="00A2108C" w:rsidP="00C24F90">
      <w:pPr>
        <w:ind w:right="-82" w:firstLine="426"/>
        <w:jc w:val="both"/>
        <w:rPr>
          <w:u w:val="single"/>
        </w:rPr>
      </w:pPr>
      <w:r w:rsidRPr="00C24F90">
        <w:t>Il presente disciplinare, il documento tecnico</w:t>
      </w:r>
      <w:r w:rsidR="00931138" w:rsidRPr="00C24F90">
        <w:t>,</w:t>
      </w:r>
      <w:r w:rsidRPr="00C24F90">
        <w:t xml:space="preserve"> l’avviso </w:t>
      </w:r>
      <w:r w:rsidR="00E910F3">
        <w:t>del 15 giugno 2017 pubblicato sul profilo web della PCM sezione “amministrazione trasparente”</w:t>
      </w:r>
      <w:r w:rsidRPr="00C24F90">
        <w:t>, le eventuali Faq integrano e contestualizzano le prescrizioni del Bando "Servizi Postali" per l'abilitazione di fornitori per la categoria: Servizi di raccolta e recapito degli invii postali per la partecipazione al Mercato Elettronico della Pubblica.</w:t>
      </w:r>
    </w:p>
    <w:p w:rsidR="005C0CA6" w:rsidRPr="00C24F90" w:rsidRDefault="005C0CA6" w:rsidP="00C24F90">
      <w:pPr>
        <w:ind w:right="-82" w:firstLine="426"/>
        <w:jc w:val="both"/>
      </w:pPr>
      <w:r w:rsidRPr="00C24F90">
        <w:t xml:space="preserve">La procedura </w:t>
      </w:r>
      <w:r w:rsidR="00A96307" w:rsidRPr="00C24F90">
        <w:t xml:space="preserve">di gara </w:t>
      </w:r>
      <w:r w:rsidRPr="00C24F90">
        <w:t>è disciplinata dal D.Lgs. 1</w:t>
      </w:r>
      <w:r w:rsidR="00CC65AE" w:rsidRPr="00C24F90">
        <w:t>8</w:t>
      </w:r>
      <w:r w:rsidRPr="00C24F90">
        <w:t xml:space="preserve"> aprile 2016, n. 50</w:t>
      </w:r>
      <w:r w:rsidR="00CC65AE" w:rsidRPr="00C24F90">
        <w:t xml:space="preserve"> “Codice dei contratti pubblici”</w:t>
      </w:r>
      <w:r w:rsidRPr="00C24F90">
        <w:t>, dal DPCM 22 novembre 2010 concernente l’autonomia finanziaria e contabile di questa Presidenza, nonch</w:t>
      </w:r>
      <w:r w:rsidR="00A354E0" w:rsidRPr="00C24F90">
        <w:t>é</w:t>
      </w:r>
      <w:r w:rsidRPr="00C24F90">
        <w:t xml:space="preserve"> dalle norme e dai regolamenti vigenti in materia di servizi e forniture resi in favore delle P.A.</w:t>
      </w:r>
    </w:p>
    <w:p w:rsidR="00CE13DE" w:rsidRPr="00C24F90" w:rsidRDefault="00CE13DE" w:rsidP="00C24F90">
      <w:pPr>
        <w:ind w:right="-82" w:firstLine="426"/>
        <w:jc w:val="both"/>
      </w:pPr>
      <w:r w:rsidRPr="00C24F90">
        <w:t xml:space="preserve">La presente procedura </w:t>
      </w:r>
      <w:r w:rsidR="008E37A9" w:rsidRPr="00C24F90">
        <w:t xml:space="preserve">è </w:t>
      </w:r>
      <w:r w:rsidRPr="00C24F90">
        <w:t>divisa in due lotti :</w:t>
      </w:r>
    </w:p>
    <w:p w:rsidR="00CE13DE" w:rsidRPr="00C24F90" w:rsidRDefault="00CE13DE" w:rsidP="00C24F90">
      <w:pPr>
        <w:ind w:right="-82" w:firstLine="426"/>
        <w:jc w:val="both"/>
      </w:pPr>
      <w:r w:rsidRPr="00C24F90">
        <w:t xml:space="preserve"> lotto 1) recapito della corrispondenza  e lotto 2) recapito dei pacchi.</w:t>
      </w:r>
    </w:p>
    <w:p w:rsidR="00CE13DE" w:rsidRPr="00C24F90" w:rsidRDefault="00CE13DE" w:rsidP="00C24F90">
      <w:pPr>
        <w:ind w:right="-119" w:firstLine="426"/>
        <w:jc w:val="both"/>
        <w:rPr>
          <w:rFonts w:eastAsiaTheme="minorHAnsi"/>
          <w:lang w:eastAsia="en-US"/>
        </w:rPr>
      </w:pPr>
      <w:r w:rsidRPr="00C24F90">
        <w:rPr>
          <w:rFonts w:eastAsiaTheme="minorHAnsi"/>
          <w:lang w:eastAsia="en-US"/>
        </w:rPr>
        <w:t>L'importo complessivo  a base di gara ammonta a € 70.000,00 così suddiviso:</w:t>
      </w:r>
    </w:p>
    <w:p w:rsidR="008E37A9" w:rsidRPr="00C24F90" w:rsidRDefault="00CE13DE" w:rsidP="00C24F90">
      <w:pPr>
        <w:ind w:right="-82" w:firstLine="426"/>
        <w:jc w:val="both"/>
        <w:rPr>
          <w:rFonts w:eastAsiaTheme="minorHAnsi"/>
          <w:lang w:eastAsia="en-US"/>
        </w:rPr>
      </w:pPr>
      <w:r w:rsidRPr="00C24F90">
        <w:rPr>
          <w:rFonts w:eastAsiaTheme="minorHAnsi"/>
          <w:lang w:eastAsia="en-US"/>
        </w:rPr>
        <w:t xml:space="preserve">Lotto n.1- gestione corrispondenza - </w:t>
      </w:r>
      <w:r w:rsidR="008E37A9" w:rsidRPr="00C24F90">
        <w:rPr>
          <w:rFonts w:eastAsiaTheme="minorHAnsi"/>
          <w:lang w:eastAsia="en-US"/>
        </w:rPr>
        <w:t xml:space="preserve">€ </w:t>
      </w:r>
      <w:r w:rsidRPr="00C24F90">
        <w:rPr>
          <w:rFonts w:eastAsiaTheme="minorHAnsi"/>
          <w:lang w:eastAsia="en-US"/>
        </w:rPr>
        <w:t>65.000,00 - Lotto n.</w:t>
      </w:r>
      <w:r w:rsidR="00931138" w:rsidRPr="00C24F90">
        <w:rPr>
          <w:rFonts w:eastAsiaTheme="minorHAnsi"/>
          <w:lang w:eastAsia="en-US"/>
        </w:rPr>
        <w:t xml:space="preserve"> </w:t>
      </w:r>
      <w:r w:rsidRPr="00C24F90">
        <w:rPr>
          <w:rFonts w:eastAsiaTheme="minorHAnsi"/>
          <w:lang w:eastAsia="en-US"/>
        </w:rPr>
        <w:t xml:space="preserve">2 –gestione corrispondenza in  pacchi - € 5.000,00, al netto degli oneri fiscali. </w:t>
      </w:r>
    </w:p>
    <w:p w:rsidR="00CE13DE" w:rsidRPr="00C24F90" w:rsidRDefault="00CE13DE" w:rsidP="00C24F90">
      <w:pPr>
        <w:ind w:right="-82" w:firstLine="426"/>
        <w:jc w:val="both"/>
        <w:rPr>
          <w:rFonts w:eastAsiaTheme="minorHAnsi"/>
          <w:lang w:eastAsia="en-US"/>
        </w:rPr>
      </w:pPr>
      <w:r w:rsidRPr="00C24F90">
        <w:rPr>
          <w:rFonts w:eastAsiaTheme="minorHAnsi"/>
          <w:lang w:eastAsia="en-US"/>
        </w:rPr>
        <w:t>Tale importo, relativo a tutta la durata contrattuale</w:t>
      </w:r>
      <w:r w:rsidR="009A7B8C" w:rsidRPr="00C24F90">
        <w:rPr>
          <w:rFonts w:eastAsiaTheme="minorHAnsi"/>
          <w:lang w:eastAsia="en-US"/>
        </w:rPr>
        <w:t xml:space="preserve"> (un anno) </w:t>
      </w:r>
      <w:r w:rsidRPr="00C24F90">
        <w:rPr>
          <w:rFonts w:eastAsiaTheme="minorHAnsi"/>
          <w:lang w:eastAsia="en-US"/>
        </w:rPr>
        <w:t>, è rapportato alla spesa storica sostenuta dall’Amministrazione  per analoghi servizi e non vincola in alcun modo l'Amministrazione, che procederà al pagamento dei servizi postali effettivamente resi nel periodo di vigenza contrattuale</w:t>
      </w:r>
      <w:r w:rsidR="00C24F90" w:rsidRPr="00C24F90">
        <w:rPr>
          <w:rFonts w:eastAsiaTheme="minorHAnsi"/>
          <w:lang w:eastAsia="en-US"/>
        </w:rPr>
        <w:t>.</w:t>
      </w:r>
    </w:p>
    <w:p w:rsidR="00C24F90" w:rsidRPr="00C24F90" w:rsidRDefault="00C24F90" w:rsidP="00C24F90">
      <w:pPr>
        <w:spacing w:after="200" w:line="276" w:lineRule="auto"/>
        <w:ind w:right="-119" w:firstLine="426"/>
        <w:jc w:val="both"/>
        <w:rPr>
          <w:rFonts w:eastAsiaTheme="minorHAnsi"/>
          <w:lang w:eastAsia="en-US"/>
        </w:rPr>
      </w:pPr>
      <w:r w:rsidRPr="00C24F90">
        <w:rPr>
          <w:rFonts w:eastAsiaTheme="minorHAnsi"/>
          <w:lang w:eastAsia="en-US"/>
        </w:rPr>
        <w:t>Il subappalto non  è ammesso; si precisa che non costituisce subappalto la gestione della corrispondenza internazionale e quella postalizzata sulla rete del fornitore del servizio universale nei limiti previsti dalla legge.</w:t>
      </w:r>
    </w:p>
    <w:p w:rsidR="009A7B8C" w:rsidRPr="00C24F90" w:rsidRDefault="009A7B8C" w:rsidP="00C24F90">
      <w:pPr>
        <w:widowControl w:val="0"/>
        <w:autoSpaceDE w:val="0"/>
        <w:autoSpaceDN w:val="0"/>
        <w:adjustRightInd w:val="0"/>
        <w:spacing w:line="300" w:lineRule="exact"/>
        <w:ind w:firstLine="426"/>
        <w:jc w:val="both"/>
      </w:pPr>
      <w:r w:rsidRPr="00C24F90">
        <w:t xml:space="preserve">Ogni lotto  sarà aggiudicato secondo il </w:t>
      </w:r>
      <w:r w:rsidRPr="00C24F90">
        <w:rPr>
          <w:b/>
          <w:u w:val="single"/>
        </w:rPr>
        <w:t>criterio dell’offerta economicamente più vantaggiosa</w:t>
      </w:r>
      <w:r w:rsidRPr="00C24F90">
        <w:t xml:space="preserve">, ai sensi dell’art. 95, comma 2 del citato Codice con la ponderazione indicata di seguito: </w:t>
      </w:r>
    </w:p>
    <w:p w:rsidR="009A7B8C" w:rsidRPr="00C24F90" w:rsidRDefault="009A7B8C" w:rsidP="00C24F90">
      <w:pPr>
        <w:ind w:right="-82"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433"/>
      </w:tblGrid>
      <w:tr w:rsidR="009A7B8C" w:rsidRPr="00C24F90" w:rsidTr="0055216F">
        <w:tc>
          <w:tcPr>
            <w:tcW w:w="6345" w:type="dxa"/>
            <w:shd w:val="clear" w:color="auto" w:fill="auto"/>
          </w:tcPr>
          <w:p w:rsidR="009A7B8C" w:rsidRPr="00C24F90" w:rsidRDefault="009A7B8C" w:rsidP="00C24F90">
            <w:pPr>
              <w:ind w:firstLine="426"/>
              <w:jc w:val="both"/>
              <w:rPr>
                <w:rStyle w:val="NormalePCM"/>
                <w:rFonts w:ascii="Times New Roman" w:hAnsi="Times New Roman"/>
                <w:sz w:val="24"/>
              </w:rPr>
            </w:pPr>
            <w:r w:rsidRPr="00C24F90">
              <w:rPr>
                <w:rStyle w:val="NormalePCM"/>
                <w:rFonts w:ascii="Times New Roman" w:hAnsi="Times New Roman"/>
                <w:sz w:val="24"/>
              </w:rPr>
              <w:t xml:space="preserve">Punteggio Tecnico (PT) </w:t>
            </w:r>
          </w:p>
        </w:tc>
        <w:tc>
          <w:tcPr>
            <w:tcW w:w="3433" w:type="dxa"/>
            <w:shd w:val="clear" w:color="auto" w:fill="auto"/>
          </w:tcPr>
          <w:p w:rsidR="009A7B8C" w:rsidRPr="00C24F90" w:rsidRDefault="009A7B8C" w:rsidP="00C24F90">
            <w:pPr>
              <w:ind w:firstLine="426"/>
              <w:jc w:val="both"/>
              <w:rPr>
                <w:rStyle w:val="NormalePCM"/>
                <w:rFonts w:ascii="Times New Roman" w:hAnsi="Times New Roman"/>
                <w:sz w:val="24"/>
              </w:rPr>
            </w:pPr>
            <w:r w:rsidRPr="00C24F90">
              <w:rPr>
                <w:rStyle w:val="NormalePCM"/>
                <w:rFonts w:ascii="Times New Roman" w:hAnsi="Times New Roman"/>
                <w:sz w:val="24"/>
              </w:rPr>
              <w:t>70</w:t>
            </w:r>
          </w:p>
        </w:tc>
      </w:tr>
      <w:tr w:rsidR="009A7B8C" w:rsidRPr="00C24F90" w:rsidTr="0055216F">
        <w:tc>
          <w:tcPr>
            <w:tcW w:w="6345" w:type="dxa"/>
            <w:shd w:val="clear" w:color="auto" w:fill="auto"/>
          </w:tcPr>
          <w:p w:rsidR="009A7B8C" w:rsidRPr="00C24F90" w:rsidRDefault="009A7B8C" w:rsidP="00C24F90">
            <w:pPr>
              <w:ind w:firstLine="426"/>
              <w:jc w:val="both"/>
              <w:rPr>
                <w:rStyle w:val="NormalePCM"/>
                <w:rFonts w:ascii="Times New Roman" w:hAnsi="Times New Roman"/>
                <w:sz w:val="24"/>
              </w:rPr>
            </w:pPr>
            <w:r w:rsidRPr="00C24F90">
              <w:rPr>
                <w:rStyle w:val="NormalePCM"/>
                <w:rFonts w:ascii="Times New Roman" w:hAnsi="Times New Roman"/>
                <w:sz w:val="24"/>
              </w:rPr>
              <w:t>Punteggio Economico (PE)</w:t>
            </w:r>
          </w:p>
        </w:tc>
        <w:tc>
          <w:tcPr>
            <w:tcW w:w="3433" w:type="dxa"/>
            <w:shd w:val="clear" w:color="auto" w:fill="auto"/>
          </w:tcPr>
          <w:p w:rsidR="009A7B8C" w:rsidRPr="00C24F90" w:rsidRDefault="009A7B8C" w:rsidP="00C24F90">
            <w:pPr>
              <w:ind w:firstLine="426"/>
              <w:jc w:val="both"/>
              <w:rPr>
                <w:rStyle w:val="NormalePCM"/>
                <w:rFonts w:ascii="Times New Roman" w:hAnsi="Times New Roman"/>
                <w:sz w:val="24"/>
              </w:rPr>
            </w:pPr>
            <w:r w:rsidRPr="00C24F90">
              <w:rPr>
                <w:rStyle w:val="NormalePCM"/>
                <w:rFonts w:ascii="Times New Roman" w:hAnsi="Times New Roman"/>
                <w:sz w:val="24"/>
              </w:rPr>
              <w:t>30</w:t>
            </w:r>
          </w:p>
        </w:tc>
      </w:tr>
      <w:tr w:rsidR="009A7B8C" w:rsidRPr="00C24F90" w:rsidTr="0055216F">
        <w:tc>
          <w:tcPr>
            <w:tcW w:w="6345" w:type="dxa"/>
            <w:shd w:val="clear" w:color="auto" w:fill="auto"/>
          </w:tcPr>
          <w:p w:rsidR="009A7B8C" w:rsidRPr="00C24F90" w:rsidRDefault="009A7B8C" w:rsidP="00C24F90">
            <w:pPr>
              <w:ind w:firstLine="426"/>
              <w:jc w:val="both"/>
              <w:rPr>
                <w:rStyle w:val="NormalePCM"/>
                <w:rFonts w:ascii="Times New Roman" w:hAnsi="Times New Roman"/>
                <w:sz w:val="24"/>
              </w:rPr>
            </w:pPr>
            <w:r w:rsidRPr="00C24F90">
              <w:rPr>
                <w:rStyle w:val="NormalePCM"/>
                <w:rFonts w:ascii="Times New Roman" w:hAnsi="Times New Roman"/>
                <w:sz w:val="24"/>
              </w:rPr>
              <w:t>Punteggio Totale (PTotale)</w:t>
            </w:r>
          </w:p>
        </w:tc>
        <w:tc>
          <w:tcPr>
            <w:tcW w:w="3433" w:type="dxa"/>
            <w:shd w:val="clear" w:color="auto" w:fill="auto"/>
          </w:tcPr>
          <w:p w:rsidR="009A7B8C" w:rsidRPr="00C24F90" w:rsidRDefault="009A7B8C" w:rsidP="00C24F90">
            <w:pPr>
              <w:ind w:firstLine="426"/>
              <w:jc w:val="both"/>
              <w:rPr>
                <w:rStyle w:val="NormalePCM"/>
                <w:rFonts w:ascii="Times New Roman" w:hAnsi="Times New Roman"/>
                <w:sz w:val="24"/>
              </w:rPr>
            </w:pPr>
            <w:r w:rsidRPr="00C24F90">
              <w:rPr>
                <w:rStyle w:val="NormalePCM"/>
                <w:rFonts w:ascii="Times New Roman" w:hAnsi="Times New Roman"/>
                <w:sz w:val="24"/>
              </w:rPr>
              <w:t>100</w:t>
            </w:r>
          </w:p>
        </w:tc>
      </w:tr>
    </w:tbl>
    <w:p w:rsidR="009A7B8C" w:rsidRPr="00C24F90" w:rsidRDefault="009A7B8C" w:rsidP="00C24F90">
      <w:pPr>
        <w:ind w:right="-119" w:firstLine="426"/>
        <w:jc w:val="both"/>
        <w:rPr>
          <w:rFonts w:eastAsiaTheme="minorHAnsi"/>
          <w:lang w:eastAsia="en-US"/>
        </w:rPr>
      </w:pPr>
    </w:p>
    <w:p w:rsidR="009A7B8C" w:rsidRPr="00C24F90" w:rsidRDefault="009A7B8C" w:rsidP="00C24F90">
      <w:pPr>
        <w:spacing w:after="200" w:line="276" w:lineRule="auto"/>
        <w:ind w:right="-119" w:firstLine="426"/>
        <w:jc w:val="both"/>
      </w:pPr>
      <w:r w:rsidRPr="00C24F90">
        <w:lastRenderedPageBreak/>
        <w:t xml:space="preserve">La migliore offerta per ciascun lotto sarà determinata dal punteggio complessivo (Ptotale) più alto, che sarà ottenuto sommando il punteggio relativo al criterio “Punteggio Tecnico” (PT) ed il punteggio relativo al criterio “Punteggio Economico” (PE): </w:t>
      </w:r>
    </w:p>
    <w:p w:rsidR="009A7B8C" w:rsidRPr="00C24F90" w:rsidRDefault="009A7B8C" w:rsidP="00C24F90">
      <w:pPr>
        <w:pStyle w:val="Default"/>
        <w:ind w:firstLine="426"/>
        <w:jc w:val="both"/>
        <w:rPr>
          <w:b/>
          <w:bCs/>
          <w:color w:val="auto"/>
        </w:rPr>
      </w:pPr>
      <w:r w:rsidRPr="00C24F90">
        <w:rPr>
          <w:b/>
          <w:bCs/>
          <w:color w:val="auto"/>
        </w:rPr>
        <w:t>PTOTALE = PT + PE.</w:t>
      </w:r>
    </w:p>
    <w:p w:rsidR="009A7B8C" w:rsidRPr="00C24F90" w:rsidRDefault="009A7B8C" w:rsidP="00C24F90">
      <w:pPr>
        <w:ind w:firstLine="426"/>
        <w:jc w:val="both"/>
        <w:rPr>
          <w:rStyle w:val="NormalePCM"/>
          <w:rFonts w:ascii="Times New Roman" w:hAnsi="Times New Roman"/>
          <w:b/>
          <w:sz w:val="24"/>
          <w:u w:val="single"/>
        </w:rPr>
      </w:pPr>
    </w:p>
    <w:p w:rsidR="009A7B8C" w:rsidRPr="00C24F90" w:rsidRDefault="009A7B8C" w:rsidP="00C24F90">
      <w:pPr>
        <w:ind w:firstLine="426"/>
        <w:jc w:val="both"/>
        <w:rPr>
          <w:rStyle w:val="NormalePCM"/>
          <w:rFonts w:ascii="Times New Roman" w:hAnsi="Times New Roman"/>
          <w:b/>
          <w:sz w:val="24"/>
        </w:rPr>
      </w:pPr>
      <w:r w:rsidRPr="00C24F90">
        <w:rPr>
          <w:rStyle w:val="NormalePCM"/>
          <w:rFonts w:ascii="Times New Roman" w:hAnsi="Times New Roman"/>
          <w:b/>
          <w:sz w:val="24"/>
        </w:rPr>
        <w:t xml:space="preserve">REQUISITI RICHIESTI ALLE IMPRESE OFFERENTI </w:t>
      </w:r>
    </w:p>
    <w:p w:rsidR="00CE13DE" w:rsidRPr="00C24F90" w:rsidRDefault="00CE13DE" w:rsidP="00C24F90">
      <w:pPr>
        <w:pStyle w:val="Testonormale"/>
        <w:ind w:right="-119" w:firstLine="426"/>
        <w:jc w:val="both"/>
        <w:rPr>
          <w:rFonts w:ascii="Times New Roman" w:eastAsiaTheme="minorHAnsi" w:hAnsi="Times New Roman" w:cs="Times New Roman"/>
          <w:sz w:val="24"/>
          <w:szCs w:val="24"/>
        </w:rPr>
      </w:pPr>
    </w:p>
    <w:p w:rsidR="00077535" w:rsidRPr="00C24F90" w:rsidRDefault="00077535" w:rsidP="00C24F90">
      <w:pPr>
        <w:pStyle w:val="Testonormale"/>
        <w:ind w:right="-119" w:firstLine="426"/>
        <w:jc w:val="both"/>
        <w:rPr>
          <w:rFonts w:ascii="Times New Roman" w:eastAsiaTheme="minorHAnsi" w:hAnsi="Times New Roman" w:cs="Times New Roman"/>
          <w:sz w:val="24"/>
          <w:szCs w:val="24"/>
        </w:rPr>
      </w:pPr>
      <w:r w:rsidRPr="00C24F90">
        <w:rPr>
          <w:rFonts w:ascii="Times New Roman" w:eastAsiaTheme="minorHAnsi" w:hAnsi="Times New Roman" w:cs="Times New Roman"/>
          <w:sz w:val="24"/>
          <w:szCs w:val="24"/>
        </w:rPr>
        <w:t>Le imprese offerenti dovranno possedere i seguenti requisiti:</w:t>
      </w:r>
    </w:p>
    <w:p w:rsidR="00077535" w:rsidRPr="00C24F90" w:rsidRDefault="00077535" w:rsidP="00C24F90">
      <w:pPr>
        <w:numPr>
          <w:ilvl w:val="0"/>
          <w:numId w:val="8"/>
        </w:numPr>
        <w:spacing w:after="200" w:line="276" w:lineRule="auto"/>
        <w:ind w:left="0" w:right="140" w:firstLine="426"/>
        <w:jc w:val="both"/>
        <w:rPr>
          <w:rFonts w:eastAsiaTheme="minorHAnsi"/>
          <w:lang w:eastAsia="en-US"/>
        </w:rPr>
      </w:pPr>
      <w:r w:rsidRPr="00C24F90">
        <w:rPr>
          <w:rFonts w:eastAsiaTheme="minorHAnsi"/>
          <w:lang w:eastAsia="en-US"/>
        </w:rPr>
        <w:t xml:space="preserve">REQUISITI  DI CARATTERE GENERALE: Requisiti di cui all'art. 80 del D.Lgs. 50/2016 (v. di seguito </w:t>
      </w:r>
      <w:r w:rsidR="00931138" w:rsidRPr="00C24F90">
        <w:rPr>
          <w:rFonts w:eastAsiaTheme="minorHAnsi"/>
          <w:lang w:eastAsia="en-US"/>
        </w:rPr>
        <w:t xml:space="preserve">paragrafo </w:t>
      </w:r>
      <w:r w:rsidRPr="00C24F90">
        <w:rPr>
          <w:rFonts w:eastAsiaTheme="minorHAnsi"/>
          <w:lang w:eastAsia="en-US"/>
        </w:rPr>
        <w:t>PASSOE) ;</w:t>
      </w:r>
    </w:p>
    <w:p w:rsidR="00077535" w:rsidRPr="00C24F90" w:rsidRDefault="00077535" w:rsidP="00C24F90">
      <w:pPr>
        <w:numPr>
          <w:ilvl w:val="0"/>
          <w:numId w:val="8"/>
        </w:numPr>
        <w:spacing w:after="200" w:line="276" w:lineRule="auto"/>
        <w:ind w:left="0" w:right="-119" w:firstLine="426"/>
        <w:jc w:val="both"/>
        <w:rPr>
          <w:rFonts w:eastAsiaTheme="minorHAnsi"/>
          <w:lang w:eastAsia="en-US"/>
        </w:rPr>
      </w:pPr>
      <w:r w:rsidRPr="00C24F90">
        <w:rPr>
          <w:rFonts w:eastAsiaTheme="minorHAnsi"/>
          <w:lang w:eastAsia="en-US"/>
        </w:rPr>
        <w:t>REQUISITI DI IDONEITA' PROFESSIONALE:</w:t>
      </w:r>
    </w:p>
    <w:p w:rsidR="00077535" w:rsidRPr="00C24F90" w:rsidRDefault="00077535" w:rsidP="00C24F90">
      <w:pPr>
        <w:ind w:right="-1" w:firstLine="426"/>
        <w:jc w:val="both"/>
        <w:rPr>
          <w:rFonts w:eastAsiaTheme="minorHAnsi"/>
          <w:lang w:eastAsia="en-US"/>
        </w:rPr>
      </w:pPr>
      <w:r w:rsidRPr="00C24F90">
        <w:rPr>
          <w:rFonts w:eastAsiaTheme="minorHAnsi"/>
          <w:lang w:eastAsia="en-US"/>
        </w:rPr>
        <w:t>Le imprese offerenti devono:</w:t>
      </w:r>
    </w:p>
    <w:p w:rsidR="00077535" w:rsidRPr="00C24F90" w:rsidRDefault="00077535" w:rsidP="00C24F90">
      <w:pPr>
        <w:numPr>
          <w:ilvl w:val="0"/>
          <w:numId w:val="7"/>
        </w:numPr>
        <w:spacing w:after="200" w:line="276" w:lineRule="auto"/>
        <w:ind w:left="0" w:right="-1" w:firstLine="426"/>
        <w:jc w:val="both"/>
        <w:rPr>
          <w:rFonts w:eastAsiaTheme="minorHAnsi"/>
          <w:lang w:eastAsia="en-US"/>
        </w:rPr>
      </w:pPr>
      <w:r w:rsidRPr="00C24F90">
        <w:rPr>
          <w:rFonts w:eastAsiaTheme="minorHAnsi"/>
          <w:lang w:eastAsia="en-US"/>
        </w:rPr>
        <w:t>Essere iscritte nel Registro delle Imprese presso la C.C.I.A.A.;</w:t>
      </w:r>
    </w:p>
    <w:p w:rsidR="00077535" w:rsidRPr="00C24F90" w:rsidRDefault="00077535" w:rsidP="00C24F90">
      <w:pPr>
        <w:numPr>
          <w:ilvl w:val="0"/>
          <w:numId w:val="7"/>
        </w:numPr>
        <w:spacing w:after="200" w:line="276" w:lineRule="auto"/>
        <w:ind w:left="0" w:right="-1" w:firstLine="426"/>
        <w:jc w:val="both"/>
        <w:rPr>
          <w:rFonts w:eastAsiaTheme="minorHAnsi"/>
          <w:lang w:eastAsia="en-US"/>
        </w:rPr>
      </w:pPr>
      <w:r w:rsidRPr="00C24F90">
        <w:rPr>
          <w:rFonts w:eastAsiaTheme="minorHAnsi"/>
          <w:lang w:eastAsia="en-US"/>
        </w:rPr>
        <w:t xml:space="preserve">Possedere la certificazione Iso 9001 o superiore </w:t>
      </w:r>
      <w:r w:rsidR="00931138" w:rsidRPr="00C24F90">
        <w:rPr>
          <w:rFonts w:eastAsiaTheme="minorHAnsi"/>
          <w:lang w:eastAsia="en-US"/>
        </w:rPr>
        <w:t>;</w:t>
      </w:r>
    </w:p>
    <w:p w:rsidR="00077535" w:rsidRPr="00C24F90" w:rsidRDefault="00077535" w:rsidP="00C24F90">
      <w:pPr>
        <w:numPr>
          <w:ilvl w:val="0"/>
          <w:numId w:val="7"/>
        </w:numPr>
        <w:spacing w:after="200" w:line="276" w:lineRule="auto"/>
        <w:ind w:left="0" w:right="-1" w:firstLine="426"/>
        <w:jc w:val="both"/>
        <w:rPr>
          <w:rFonts w:eastAsiaTheme="minorHAnsi"/>
          <w:lang w:eastAsia="en-US"/>
        </w:rPr>
      </w:pPr>
      <w:r w:rsidRPr="00C24F90">
        <w:rPr>
          <w:rFonts w:eastAsiaTheme="minorHAnsi"/>
          <w:lang w:eastAsia="en-US"/>
        </w:rPr>
        <w:t xml:space="preserve">Possedere l’ autorizzazione generale </w:t>
      </w:r>
      <w:r w:rsidRPr="00C24F90">
        <w:rPr>
          <w:rFonts w:eastAsiaTheme="minorHAnsi"/>
          <w:u w:val="single"/>
          <w:lang w:eastAsia="en-US"/>
        </w:rPr>
        <w:t xml:space="preserve">e/o la </w:t>
      </w:r>
      <w:r w:rsidRPr="00C24F90">
        <w:rPr>
          <w:rFonts w:eastAsiaTheme="minorHAnsi"/>
          <w:lang w:eastAsia="en-US"/>
        </w:rPr>
        <w:t xml:space="preserve"> licenza individuale</w:t>
      </w:r>
      <w:r w:rsidR="00931138" w:rsidRPr="00C24F90">
        <w:rPr>
          <w:rFonts w:eastAsiaTheme="minorHAnsi"/>
          <w:lang w:eastAsia="en-US"/>
        </w:rPr>
        <w:t>,</w:t>
      </w:r>
      <w:r w:rsidRPr="00C24F90">
        <w:rPr>
          <w:rFonts w:eastAsiaTheme="minorHAnsi"/>
          <w:lang w:eastAsia="en-US"/>
        </w:rPr>
        <w:t xml:space="preserve"> in particolare:</w:t>
      </w:r>
    </w:p>
    <w:p w:rsidR="00077535" w:rsidRPr="00C24F90" w:rsidRDefault="00077535" w:rsidP="00C24F90">
      <w:pPr>
        <w:ind w:right="-1" w:firstLine="426"/>
        <w:jc w:val="both"/>
        <w:rPr>
          <w:rFonts w:eastAsiaTheme="minorHAnsi"/>
          <w:lang w:eastAsia="en-US"/>
        </w:rPr>
      </w:pPr>
      <w:r w:rsidRPr="00C24F90">
        <w:rPr>
          <w:rFonts w:eastAsiaTheme="minorHAnsi"/>
          <w:lang w:eastAsia="en-US"/>
        </w:rPr>
        <w:t>Licenza individuale, ai sensi del Decreto del Ministero delle Comunicazioni 4 febbraio 2000 n73, art. 1. comma 4 e D.Lgs. 22 luglio 1999 n. 261, art.5</w:t>
      </w:r>
    </w:p>
    <w:p w:rsidR="00077535" w:rsidRPr="00C24F90" w:rsidRDefault="00077535" w:rsidP="00C24F90">
      <w:pPr>
        <w:ind w:right="-1" w:firstLine="426"/>
        <w:jc w:val="both"/>
        <w:rPr>
          <w:rFonts w:eastAsiaTheme="minorHAnsi"/>
          <w:lang w:eastAsia="en-US"/>
        </w:rPr>
      </w:pPr>
      <w:r w:rsidRPr="00C24F90">
        <w:rPr>
          <w:rFonts w:eastAsiaTheme="minorHAnsi"/>
          <w:lang w:eastAsia="en-US"/>
        </w:rPr>
        <w:t>Autorizzazione generale ai sensi dell'art. 6 del D. Lgs. 22 luglio 1999, n. 261 e del Decreto del Ministero delle Comunicazioni 4 febbraio 2000, n. 75;</w:t>
      </w:r>
    </w:p>
    <w:p w:rsidR="008E37A9" w:rsidRPr="00C24F90" w:rsidRDefault="008E37A9" w:rsidP="00C24F90">
      <w:pPr>
        <w:ind w:right="-1" w:firstLine="426"/>
        <w:jc w:val="both"/>
        <w:rPr>
          <w:rFonts w:eastAsiaTheme="minorHAnsi"/>
          <w:lang w:eastAsia="en-US"/>
        </w:rPr>
      </w:pPr>
    </w:p>
    <w:p w:rsidR="00077535" w:rsidRPr="00C24F90" w:rsidRDefault="00077535" w:rsidP="00C24F90">
      <w:pPr>
        <w:pStyle w:val="Paragrafoelenco"/>
        <w:numPr>
          <w:ilvl w:val="0"/>
          <w:numId w:val="8"/>
        </w:numPr>
        <w:ind w:left="0" w:right="-1" w:firstLine="426"/>
        <w:jc w:val="both"/>
        <w:rPr>
          <w:rFonts w:eastAsiaTheme="minorHAnsi"/>
          <w:lang w:eastAsia="en-US"/>
        </w:rPr>
      </w:pPr>
      <w:r w:rsidRPr="00C24F90">
        <w:rPr>
          <w:rFonts w:eastAsiaTheme="minorHAnsi"/>
          <w:lang w:eastAsia="en-US"/>
        </w:rPr>
        <w:t>CAPACITA’ ECONOMICO FINANZIARIA</w:t>
      </w:r>
    </w:p>
    <w:p w:rsidR="008E37A9" w:rsidRPr="00C24F90" w:rsidRDefault="008E37A9" w:rsidP="00C24F90">
      <w:pPr>
        <w:pStyle w:val="Paragrafoelenco"/>
        <w:ind w:left="0" w:right="-1" w:firstLine="426"/>
        <w:jc w:val="both"/>
        <w:rPr>
          <w:rFonts w:eastAsiaTheme="minorHAnsi"/>
          <w:color w:val="FF0000"/>
          <w:lang w:eastAsia="en-US"/>
        </w:rPr>
      </w:pPr>
    </w:p>
    <w:p w:rsidR="00927782" w:rsidRPr="00C24F90" w:rsidRDefault="00077535" w:rsidP="00C24F90">
      <w:pPr>
        <w:spacing w:after="200"/>
        <w:ind w:right="-1" w:firstLine="426"/>
        <w:jc w:val="both"/>
        <w:rPr>
          <w:rFonts w:eastAsiaTheme="minorHAnsi"/>
          <w:lang w:eastAsia="en-US"/>
        </w:rPr>
      </w:pPr>
      <w:r w:rsidRPr="00C24F90">
        <w:rPr>
          <w:rFonts w:eastAsiaTheme="minorHAnsi"/>
          <w:lang w:eastAsia="en-US"/>
        </w:rPr>
        <w:t>Le imprese offerenti devono possedere un fatturato specifico su servizi analoghi pari al doppio dell’importo a base di gara, per ogni anno del triennio 2014-2016</w:t>
      </w:r>
    </w:p>
    <w:p w:rsidR="00EE45DD" w:rsidRPr="00C24F90" w:rsidRDefault="00EE45DD" w:rsidP="00C24F90">
      <w:pPr>
        <w:spacing w:after="200"/>
        <w:ind w:right="-1" w:firstLine="426"/>
        <w:jc w:val="both"/>
        <w:rPr>
          <w:rFonts w:eastAsiaTheme="minorHAnsi"/>
          <w:lang w:eastAsia="en-US"/>
        </w:rPr>
      </w:pPr>
      <w:r w:rsidRPr="00C24F90">
        <w:rPr>
          <w:rFonts w:eastAsiaTheme="minorHAnsi"/>
          <w:lang w:eastAsia="en-US"/>
        </w:rPr>
        <w:t xml:space="preserve">PRESENTAZIONE DELL’OFFERTA </w:t>
      </w:r>
    </w:p>
    <w:p w:rsidR="00EE45DD" w:rsidRPr="00C24F90" w:rsidRDefault="00EE45DD" w:rsidP="00C24F90">
      <w:pPr>
        <w:pStyle w:val="Paragrafoelenco"/>
        <w:numPr>
          <w:ilvl w:val="0"/>
          <w:numId w:val="12"/>
        </w:numPr>
        <w:spacing w:after="200"/>
        <w:ind w:left="0" w:right="-1" w:firstLine="426"/>
        <w:jc w:val="both"/>
        <w:rPr>
          <w:rFonts w:eastAsiaTheme="minorHAnsi"/>
          <w:lang w:eastAsia="en-US"/>
        </w:rPr>
      </w:pPr>
      <w:r w:rsidRPr="00C24F90">
        <w:rPr>
          <w:rFonts w:eastAsiaTheme="minorHAnsi"/>
          <w:lang w:eastAsia="en-US"/>
        </w:rPr>
        <w:t xml:space="preserve"> DOCUMENTAZIONE  AMMINISTRATIVA </w:t>
      </w:r>
    </w:p>
    <w:p w:rsidR="00927782" w:rsidRPr="00C24F90" w:rsidRDefault="00EE45DD" w:rsidP="00C24F90">
      <w:pPr>
        <w:pStyle w:val="Testonormale"/>
        <w:ind w:firstLine="426"/>
        <w:jc w:val="both"/>
        <w:rPr>
          <w:rFonts w:ascii="Times New Roman" w:hAnsi="Times New Roman" w:cs="Times New Roman"/>
          <w:sz w:val="24"/>
          <w:szCs w:val="24"/>
        </w:rPr>
      </w:pPr>
      <w:r w:rsidRPr="00C24F90">
        <w:rPr>
          <w:rFonts w:ascii="Times New Roman" w:hAnsi="Times New Roman" w:cs="Times New Roman"/>
          <w:sz w:val="24"/>
          <w:szCs w:val="24"/>
        </w:rPr>
        <w:t xml:space="preserve">LE IMPRESE OFFERENTI </w:t>
      </w:r>
      <w:r w:rsidR="00927782" w:rsidRPr="00C24F90">
        <w:rPr>
          <w:rFonts w:ascii="Times New Roman" w:hAnsi="Times New Roman" w:cs="Times New Roman"/>
          <w:sz w:val="24"/>
          <w:szCs w:val="24"/>
        </w:rPr>
        <w:t xml:space="preserve">DOVRANNO </w:t>
      </w:r>
      <w:r w:rsidRPr="00C24F90">
        <w:rPr>
          <w:rFonts w:ascii="Times New Roman" w:hAnsi="Times New Roman" w:cs="Times New Roman"/>
          <w:sz w:val="24"/>
          <w:szCs w:val="24"/>
        </w:rPr>
        <w:t xml:space="preserve">PRODURRE </w:t>
      </w:r>
      <w:r w:rsidR="00927782" w:rsidRPr="00C24F90">
        <w:rPr>
          <w:rFonts w:ascii="Times New Roman" w:hAnsi="Times New Roman" w:cs="Times New Roman"/>
          <w:sz w:val="24"/>
          <w:szCs w:val="24"/>
        </w:rPr>
        <w:t>UNA DICHIARAZIONE UNICA CONTENENTE I SEGUENTI ELEMENTI:</w:t>
      </w:r>
    </w:p>
    <w:p w:rsidR="00927782" w:rsidRPr="00C24F90" w:rsidRDefault="00C83689" w:rsidP="00C83689">
      <w:pPr>
        <w:pStyle w:val="Testonormale"/>
        <w:ind w:left="360"/>
        <w:jc w:val="both"/>
        <w:rPr>
          <w:rFonts w:ascii="Times New Roman" w:hAnsi="Times New Roman" w:cs="Times New Roman"/>
          <w:sz w:val="24"/>
          <w:szCs w:val="24"/>
        </w:rPr>
      </w:pPr>
      <w:r>
        <w:rPr>
          <w:rFonts w:ascii="Times New Roman" w:hAnsi="Times New Roman" w:cs="Times New Roman"/>
          <w:sz w:val="24"/>
          <w:szCs w:val="24"/>
        </w:rPr>
        <w:t>a)</w:t>
      </w:r>
      <w:r w:rsidR="001F21EF">
        <w:rPr>
          <w:rFonts w:ascii="Times New Roman" w:hAnsi="Times New Roman" w:cs="Times New Roman"/>
          <w:sz w:val="24"/>
          <w:szCs w:val="24"/>
        </w:rPr>
        <w:t xml:space="preserve"> </w:t>
      </w:r>
      <w:r>
        <w:rPr>
          <w:rFonts w:ascii="Times New Roman" w:hAnsi="Times New Roman" w:cs="Times New Roman"/>
          <w:sz w:val="24"/>
          <w:szCs w:val="24"/>
        </w:rPr>
        <w:t xml:space="preserve">Denominazione dell’impresa CF/PI e forma di partecipazione alla gara (individuale o associata ad altre imprese) </w:t>
      </w:r>
    </w:p>
    <w:p w:rsidR="00CE13DE" w:rsidRPr="00C24F90" w:rsidRDefault="00C83689" w:rsidP="00C83689">
      <w:pPr>
        <w:pStyle w:val="Testonormale"/>
        <w:ind w:left="360"/>
        <w:jc w:val="both"/>
        <w:rPr>
          <w:rFonts w:ascii="Times New Roman" w:hAnsi="Times New Roman" w:cs="Times New Roman"/>
          <w:sz w:val="24"/>
          <w:szCs w:val="24"/>
        </w:rPr>
      </w:pPr>
      <w:r>
        <w:rPr>
          <w:rFonts w:ascii="Times New Roman" w:hAnsi="Times New Roman" w:cs="Times New Roman"/>
          <w:sz w:val="24"/>
          <w:szCs w:val="24"/>
        </w:rPr>
        <w:t>b)</w:t>
      </w:r>
      <w:r w:rsidR="001F21EF">
        <w:rPr>
          <w:rFonts w:ascii="Times New Roman" w:hAnsi="Times New Roman" w:cs="Times New Roman"/>
          <w:sz w:val="24"/>
          <w:szCs w:val="24"/>
        </w:rPr>
        <w:t xml:space="preserve"> </w:t>
      </w:r>
      <w:r w:rsidR="00CE13DE" w:rsidRPr="00C24F90">
        <w:rPr>
          <w:rFonts w:ascii="Times New Roman" w:hAnsi="Times New Roman" w:cs="Times New Roman"/>
          <w:sz w:val="24"/>
          <w:szCs w:val="24"/>
        </w:rPr>
        <w:t xml:space="preserve">Per l'assenza dei motivi di esclusione, </w:t>
      </w:r>
      <w:r w:rsidR="00CE13DE" w:rsidRPr="00C24F90">
        <w:rPr>
          <w:rFonts w:ascii="Times New Roman" w:hAnsi="Times New Roman" w:cs="Times New Roman"/>
          <w:sz w:val="24"/>
          <w:szCs w:val="24"/>
          <w:u w:val="single"/>
        </w:rPr>
        <w:t>l'operatore economico dovrà dichiarare</w:t>
      </w:r>
      <w:r w:rsidR="00CE13DE" w:rsidRPr="00C24F90">
        <w:rPr>
          <w:rFonts w:ascii="Times New Roman" w:hAnsi="Times New Roman" w:cs="Times New Roman"/>
          <w:sz w:val="24"/>
          <w:szCs w:val="24"/>
        </w:rPr>
        <w:t xml:space="preserve"> che:</w:t>
      </w:r>
    </w:p>
    <w:p w:rsidR="008E37A9" w:rsidRPr="00C24F90" w:rsidRDefault="008E37A9" w:rsidP="00C24F90">
      <w:pPr>
        <w:pStyle w:val="Testonormale"/>
        <w:ind w:firstLine="426"/>
        <w:jc w:val="both"/>
        <w:rPr>
          <w:rFonts w:ascii="Times New Roman" w:hAnsi="Times New Roman" w:cs="Times New Roman"/>
          <w:sz w:val="24"/>
          <w:szCs w:val="24"/>
        </w:rPr>
      </w:pPr>
    </w:p>
    <w:p w:rsidR="00CE13DE" w:rsidRPr="00C24F90" w:rsidRDefault="004753A5" w:rsidP="00C24F90">
      <w:pPr>
        <w:pStyle w:val="Testonormale"/>
        <w:ind w:firstLine="426"/>
        <w:jc w:val="both"/>
        <w:rPr>
          <w:rFonts w:ascii="Times New Roman" w:hAnsi="Times New Roman" w:cs="Times New Roman"/>
          <w:sz w:val="24"/>
          <w:szCs w:val="24"/>
        </w:rPr>
      </w:pPr>
      <w:r w:rsidRPr="00C24F90">
        <w:rPr>
          <w:rFonts w:ascii="Times New Roman" w:hAnsi="Times New Roman" w:cs="Times New Roman"/>
          <w:sz w:val="24"/>
          <w:szCs w:val="24"/>
        </w:rPr>
        <w:t>-</w:t>
      </w:r>
      <w:r w:rsidR="00CE13DE" w:rsidRPr="00C24F90">
        <w:rPr>
          <w:rFonts w:ascii="Times New Roman" w:hAnsi="Times New Roman" w:cs="Times New Roman"/>
          <w:sz w:val="24"/>
          <w:szCs w:val="24"/>
          <w:u w:val="single"/>
        </w:rPr>
        <w:t>non si trova in nessuna delle condizioni ostative previste nell'art. 80</w:t>
      </w:r>
      <w:r w:rsidR="00CE13DE" w:rsidRPr="00C24F90">
        <w:rPr>
          <w:rFonts w:ascii="Times New Roman" w:hAnsi="Times New Roman" w:cs="Times New Roman"/>
          <w:sz w:val="24"/>
          <w:szCs w:val="24"/>
        </w:rPr>
        <w:t xml:space="preserve"> del Codice dei contratti pubblici né in altra ipotesi di incapacità di contrarre con la Pubblica Amministrazione secondo la normativa vigente. (E fatto comunque obbligo al Concorrente di comunicare all'Amministrazione procedente le eventuali condizioni ostative o ipotesi di incapacità a contrarre di cui al presente punto, ivi incluse le eventuali condanne penali per le quali ha beneficiato della "non menzione");</w:t>
      </w:r>
    </w:p>
    <w:p w:rsidR="00CE13DE" w:rsidRPr="00C24F90" w:rsidRDefault="004753A5" w:rsidP="00C24F90">
      <w:pPr>
        <w:pStyle w:val="Testonormale"/>
        <w:ind w:firstLine="426"/>
        <w:jc w:val="both"/>
        <w:rPr>
          <w:rFonts w:ascii="Times New Roman" w:hAnsi="Times New Roman" w:cs="Times New Roman"/>
          <w:sz w:val="24"/>
          <w:szCs w:val="24"/>
        </w:rPr>
      </w:pPr>
      <w:r w:rsidRPr="00C24F90">
        <w:rPr>
          <w:rFonts w:ascii="Times New Roman" w:hAnsi="Times New Roman" w:cs="Times New Roman"/>
          <w:sz w:val="24"/>
          <w:szCs w:val="24"/>
        </w:rPr>
        <w:t>-</w:t>
      </w:r>
      <w:r w:rsidR="00CE13DE" w:rsidRPr="00C24F90">
        <w:rPr>
          <w:rFonts w:ascii="Times New Roman" w:hAnsi="Times New Roman" w:cs="Times New Roman"/>
          <w:sz w:val="24"/>
          <w:szCs w:val="24"/>
          <w:u w:val="single"/>
        </w:rPr>
        <w:t>ha formulato l'offerta in maniera autonoma</w:t>
      </w:r>
      <w:r w:rsidR="00CE13DE" w:rsidRPr="00C24F90">
        <w:rPr>
          <w:rFonts w:ascii="Times New Roman" w:hAnsi="Times New Roman" w:cs="Times New Roman"/>
          <w:sz w:val="24"/>
          <w:szCs w:val="24"/>
        </w:rPr>
        <w:t xml:space="preserve"> e che, in ogni caso, tale offerta non è imputabile ad un unico centro decisionale, come previsto dall'art. 80, comma 5, lett. m) del Codice;</w:t>
      </w:r>
    </w:p>
    <w:p w:rsidR="004753A5" w:rsidRPr="00C24F90" w:rsidRDefault="004753A5" w:rsidP="00C24F90">
      <w:pPr>
        <w:pStyle w:val="Testonormale"/>
        <w:ind w:firstLine="426"/>
        <w:jc w:val="both"/>
        <w:rPr>
          <w:rFonts w:ascii="Times New Roman" w:hAnsi="Times New Roman" w:cs="Times New Roman"/>
          <w:sz w:val="24"/>
          <w:szCs w:val="24"/>
        </w:rPr>
      </w:pPr>
    </w:p>
    <w:p w:rsidR="008E37A9" w:rsidRPr="00C24F90" w:rsidRDefault="00C83689" w:rsidP="00C83689">
      <w:pPr>
        <w:pStyle w:val="Paragrafoelenco"/>
        <w:spacing w:after="200" w:line="276" w:lineRule="auto"/>
        <w:ind w:left="426" w:right="-1"/>
        <w:jc w:val="both"/>
      </w:pPr>
      <w:r>
        <w:t>c)</w:t>
      </w:r>
      <w:r w:rsidR="001F21EF">
        <w:t xml:space="preserve"> </w:t>
      </w:r>
      <w:r w:rsidR="00CE13DE" w:rsidRPr="00C24F90">
        <w:t xml:space="preserve">Per i requisiti di idoneità professionale, </w:t>
      </w:r>
      <w:r w:rsidR="00CE13DE" w:rsidRPr="00C24F90">
        <w:rPr>
          <w:u w:val="single"/>
        </w:rPr>
        <w:t>l'operatore economico dovrà dichiarare di</w:t>
      </w:r>
      <w:r w:rsidR="008E37A9" w:rsidRPr="00C24F90">
        <w:t>:</w:t>
      </w:r>
    </w:p>
    <w:p w:rsidR="004753A5" w:rsidRPr="00C24F90" w:rsidRDefault="004753A5" w:rsidP="00C24F90">
      <w:pPr>
        <w:spacing w:after="200" w:line="276" w:lineRule="auto"/>
        <w:ind w:right="-1" w:firstLine="426"/>
        <w:jc w:val="both"/>
      </w:pPr>
      <w:r w:rsidRPr="00C24F90">
        <w:lastRenderedPageBreak/>
        <w:t>-</w:t>
      </w:r>
      <w:r w:rsidR="00CE13DE" w:rsidRPr="00C24F90">
        <w:rPr>
          <w:rFonts w:eastAsiaTheme="minorHAnsi"/>
          <w:lang w:eastAsia="en-US"/>
        </w:rPr>
        <w:t xml:space="preserve"> Essere </w:t>
      </w:r>
      <w:r w:rsidR="00CE13DE" w:rsidRPr="00C24F90">
        <w:rPr>
          <w:rFonts w:eastAsiaTheme="minorHAnsi"/>
          <w:u w:val="single"/>
          <w:lang w:eastAsia="en-US"/>
        </w:rPr>
        <w:t>iscritto nel Registro delle Imprese</w:t>
      </w:r>
      <w:r w:rsidR="00CE13DE" w:rsidRPr="00C24F90">
        <w:rPr>
          <w:rFonts w:eastAsiaTheme="minorHAnsi"/>
          <w:lang w:eastAsia="en-US"/>
        </w:rPr>
        <w:t xml:space="preserve"> presso la C.C.I.A.A</w:t>
      </w:r>
      <w:r w:rsidR="00CE13DE" w:rsidRPr="00C24F90">
        <w:t xml:space="preserve"> o ad altro Albo o Registro, se cooperativa, dalla quale risulti che l'impresa svolge attività nel settore oggetto del presente affidamento;</w:t>
      </w:r>
    </w:p>
    <w:p w:rsidR="004753A5" w:rsidRPr="00C24F90" w:rsidRDefault="00CE13DE" w:rsidP="00C24F90">
      <w:pPr>
        <w:pStyle w:val="Paragrafoelenco"/>
        <w:spacing w:after="200" w:line="276" w:lineRule="auto"/>
        <w:ind w:left="0" w:right="-1" w:firstLine="426"/>
        <w:jc w:val="both"/>
        <w:rPr>
          <w:rFonts w:eastAsiaTheme="minorHAnsi"/>
          <w:lang w:eastAsia="en-US"/>
        </w:rPr>
      </w:pPr>
      <w:r w:rsidRPr="00C24F90">
        <w:t xml:space="preserve">Dovrà inoltre </w:t>
      </w:r>
      <w:r w:rsidRPr="00C24F90">
        <w:rPr>
          <w:u w:val="single"/>
        </w:rPr>
        <w:t>dichiarare di possedere</w:t>
      </w:r>
      <w:r w:rsidRPr="00C24F90">
        <w:rPr>
          <w:rFonts w:eastAsiaTheme="minorHAnsi"/>
          <w:lang w:eastAsia="en-US"/>
        </w:rPr>
        <w:t xml:space="preserve">; </w:t>
      </w:r>
    </w:p>
    <w:p w:rsidR="00CE13DE" w:rsidRPr="00C24F90" w:rsidRDefault="004753A5" w:rsidP="00C24F90">
      <w:pPr>
        <w:pStyle w:val="Paragrafoelenco"/>
        <w:spacing w:after="200" w:line="276" w:lineRule="auto"/>
        <w:ind w:left="0" w:right="-1" w:firstLine="426"/>
        <w:jc w:val="both"/>
      </w:pPr>
      <w:r w:rsidRPr="00C24F90">
        <w:rPr>
          <w:rFonts w:eastAsiaTheme="minorHAnsi"/>
          <w:lang w:eastAsia="en-US"/>
        </w:rPr>
        <w:t>-</w:t>
      </w:r>
      <w:r w:rsidR="008E37A9" w:rsidRPr="00C24F90">
        <w:rPr>
          <w:rFonts w:eastAsiaTheme="minorHAnsi"/>
          <w:lang w:eastAsia="en-US"/>
        </w:rPr>
        <w:t xml:space="preserve"> </w:t>
      </w:r>
      <w:r w:rsidR="00CE13DE" w:rsidRPr="00C24F90">
        <w:rPr>
          <w:rFonts w:eastAsiaTheme="minorHAnsi"/>
          <w:lang w:eastAsia="en-US"/>
        </w:rPr>
        <w:t xml:space="preserve">la </w:t>
      </w:r>
      <w:r w:rsidR="00CE13DE" w:rsidRPr="00C24F90">
        <w:rPr>
          <w:rFonts w:eastAsiaTheme="minorHAnsi"/>
          <w:u w:val="single"/>
          <w:lang w:eastAsia="en-US"/>
        </w:rPr>
        <w:t xml:space="preserve">certificazione Iso </w:t>
      </w:r>
      <w:r w:rsidR="00CE13DE" w:rsidRPr="00C24F90">
        <w:rPr>
          <w:rFonts w:eastAsiaTheme="minorHAnsi"/>
          <w:lang w:eastAsia="en-US"/>
        </w:rPr>
        <w:t>9001 o superiore</w:t>
      </w:r>
      <w:r w:rsidRPr="00C24F90">
        <w:rPr>
          <w:rFonts w:eastAsiaTheme="minorHAnsi"/>
          <w:lang w:eastAsia="en-US"/>
        </w:rPr>
        <w:t xml:space="preserve"> per la classe di interesse del presente affidamento</w:t>
      </w:r>
      <w:r w:rsidR="008E37A9" w:rsidRPr="00C24F90">
        <w:rPr>
          <w:rFonts w:eastAsiaTheme="minorHAnsi"/>
          <w:lang w:eastAsia="en-US"/>
        </w:rPr>
        <w:t>;</w:t>
      </w:r>
      <w:r w:rsidRPr="00C24F90">
        <w:rPr>
          <w:rFonts w:eastAsiaTheme="minorHAnsi"/>
          <w:lang w:eastAsia="en-US"/>
        </w:rPr>
        <w:t xml:space="preserve"> </w:t>
      </w:r>
      <w:r w:rsidR="00CE13DE" w:rsidRPr="00C24F90">
        <w:rPr>
          <w:rFonts w:eastAsiaTheme="minorHAnsi"/>
          <w:lang w:eastAsia="en-US"/>
        </w:rPr>
        <w:t xml:space="preserve"> </w:t>
      </w:r>
    </w:p>
    <w:p w:rsidR="00CE13DE" w:rsidRPr="00C24F90" w:rsidRDefault="004753A5" w:rsidP="00C24F90">
      <w:pPr>
        <w:pStyle w:val="Paragrafoelenco"/>
        <w:spacing w:after="200" w:line="276" w:lineRule="auto"/>
        <w:ind w:left="0" w:right="-1" w:firstLine="426"/>
        <w:jc w:val="both"/>
      </w:pPr>
      <w:r w:rsidRPr="00C24F90">
        <w:rPr>
          <w:rFonts w:eastAsiaTheme="minorHAnsi"/>
          <w:lang w:eastAsia="en-US"/>
        </w:rPr>
        <w:t>-</w:t>
      </w:r>
      <w:r w:rsidR="008E37A9" w:rsidRPr="00C24F90">
        <w:rPr>
          <w:rFonts w:eastAsiaTheme="minorHAnsi"/>
          <w:lang w:eastAsia="en-US"/>
        </w:rPr>
        <w:t xml:space="preserve"> </w:t>
      </w:r>
      <w:r w:rsidR="00CE13DE" w:rsidRPr="00C24F90">
        <w:rPr>
          <w:rFonts w:eastAsiaTheme="minorHAnsi"/>
          <w:lang w:eastAsia="en-US"/>
        </w:rPr>
        <w:t xml:space="preserve">l’ </w:t>
      </w:r>
      <w:r w:rsidR="00CE13DE" w:rsidRPr="00C24F90">
        <w:rPr>
          <w:rFonts w:eastAsiaTheme="minorHAnsi"/>
          <w:u w:val="single"/>
          <w:lang w:eastAsia="en-US"/>
        </w:rPr>
        <w:t>autorizzazione generale e/o la  licenza individuale</w:t>
      </w:r>
      <w:r w:rsidR="00CE13DE" w:rsidRPr="00C24F90">
        <w:t xml:space="preserve"> </w:t>
      </w:r>
    </w:p>
    <w:p w:rsidR="008E37A9" w:rsidRPr="00C24F90" w:rsidRDefault="00CE13DE" w:rsidP="001F21EF">
      <w:pPr>
        <w:pStyle w:val="Paragrafoelenco"/>
        <w:numPr>
          <w:ilvl w:val="0"/>
          <w:numId w:val="8"/>
        </w:numPr>
        <w:spacing w:after="200" w:line="276" w:lineRule="auto"/>
        <w:ind w:right="-1"/>
        <w:jc w:val="both"/>
      </w:pPr>
      <w:r w:rsidRPr="00C24F90">
        <w:t xml:space="preserve">Per i requisiti di capacità economica e finanziaria, </w:t>
      </w:r>
      <w:r w:rsidRPr="001F21EF">
        <w:rPr>
          <w:u w:val="single"/>
        </w:rPr>
        <w:t>l'operatore economico dovrà dichiarare</w:t>
      </w:r>
      <w:r w:rsidR="008E37A9" w:rsidRPr="001F21EF">
        <w:rPr>
          <w:u w:val="single"/>
        </w:rPr>
        <w:t xml:space="preserve"> di </w:t>
      </w:r>
      <w:r w:rsidRPr="001F21EF">
        <w:rPr>
          <w:rFonts w:eastAsiaTheme="minorHAnsi"/>
          <w:u w:val="single"/>
          <w:lang w:eastAsia="en-US"/>
        </w:rPr>
        <w:t xml:space="preserve"> possedere</w:t>
      </w:r>
      <w:r w:rsidR="008E37A9" w:rsidRPr="001F21EF">
        <w:rPr>
          <w:rFonts w:eastAsiaTheme="minorHAnsi"/>
          <w:lang w:eastAsia="en-US"/>
        </w:rPr>
        <w:t>:</w:t>
      </w:r>
    </w:p>
    <w:p w:rsidR="00CE13DE" w:rsidRPr="00C24F90" w:rsidRDefault="008E37A9" w:rsidP="00C24F90">
      <w:pPr>
        <w:pStyle w:val="Paragrafoelenco"/>
        <w:spacing w:after="200" w:line="276" w:lineRule="auto"/>
        <w:ind w:left="0" w:right="-1" w:firstLine="426"/>
        <w:jc w:val="both"/>
      </w:pPr>
      <w:r w:rsidRPr="00C24F90">
        <w:rPr>
          <w:rFonts w:eastAsiaTheme="minorHAnsi"/>
          <w:lang w:eastAsia="en-US"/>
        </w:rPr>
        <w:t>-</w:t>
      </w:r>
      <w:r w:rsidR="00CE13DE" w:rsidRPr="00C24F90">
        <w:rPr>
          <w:rFonts w:eastAsiaTheme="minorHAnsi"/>
          <w:lang w:eastAsia="en-US"/>
        </w:rPr>
        <w:t xml:space="preserve"> un </w:t>
      </w:r>
      <w:r w:rsidR="00CE13DE" w:rsidRPr="00C24F90">
        <w:rPr>
          <w:rFonts w:eastAsiaTheme="minorHAnsi"/>
          <w:u w:val="single"/>
          <w:lang w:eastAsia="en-US"/>
        </w:rPr>
        <w:t>fatturato specifico</w:t>
      </w:r>
      <w:r w:rsidR="00CE13DE" w:rsidRPr="00C24F90">
        <w:rPr>
          <w:rFonts w:eastAsiaTheme="minorHAnsi"/>
          <w:lang w:eastAsia="en-US"/>
        </w:rPr>
        <w:t xml:space="preserve"> su servizi analoghi a quelli del lotto di interesse </w:t>
      </w:r>
      <w:r w:rsidR="00CE13DE" w:rsidRPr="00C24F90">
        <w:rPr>
          <w:rFonts w:eastAsiaTheme="minorHAnsi"/>
          <w:u w:val="single"/>
          <w:lang w:eastAsia="en-US"/>
        </w:rPr>
        <w:t>pari al doppio dell’importo a base di gara, per ogni anno del triennio 2014-2016</w:t>
      </w:r>
      <w:r w:rsidR="00CE13DE" w:rsidRPr="00C24F90">
        <w:t>.</w:t>
      </w:r>
    </w:p>
    <w:p w:rsidR="004753A5" w:rsidRPr="00C24F90" w:rsidRDefault="00EE45DD" w:rsidP="00C24F90">
      <w:pPr>
        <w:pStyle w:val="Paragrafoelenco"/>
        <w:spacing w:after="200" w:line="276" w:lineRule="auto"/>
        <w:ind w:left="0" w:right="-1" w:firstLine="426"/>
        <w:jc w:val="both"/>
      </w:pPr>
      <w:r w:rsidRPr="00C24F90">
        <w:t xml:space="preserve">LA </w:t>
      </w:r>
      <w:r w:rsidR="00927782" w:rsidRPr="00C24F90">
        <w:t xml:space="preserve"> </w:t>
      </w:r>
      <w:r w:rsidR="004753A5" w:rsidRPr="00C24F90">
        <w:t>DICHIARAZION</w:t>
      </w:r>
      <w:r w:rsidRPr="00C24F90">
        <w:t>E</w:t>
      </w:r>
      <w:r w:rsidR="004753A5" w:rsidRPr="00C24F90">
        <w:t xml:space="preserve"> DOVRA</w:t>
      </w:r>
      <w:r w:rsidRPr="00C24F90">
        <w:t>’</w:t>
      </w:r>
      <w:r w:rsidR="004753A5" w:rsidRPr="00C24F90">
        <w:t xml:space="preserve"> ESSERE SOTTOSCRITT</w:t>
      </w:r>
      <w:r w:rsidRPr="00C24F90">
        <w:t>A</w:t>
      </w:r>
      <w:r w:rsidR="004753A5" w:rsidRPr="00C24F90">
        <w:t xml:space="preserve"> DIGITALMENTE DAL LEGALE RAPPRESENTANTE DELL’IMPRESA OFFERENTE E INSERIT</w:t>
      </w:r>
      <w:r w:rsidRPr="00C24F90">
        <w:t>A</w:t>
      </w:r>
      <w:r w:rsidR="004753A5" w:rsidRPr="00C24F90">
        <w:t xml:space="preserve"> A SISTEMA NELLA BUSTA ELETTRONICA CONTENENTE LA DOCUMENTAZIONE AMMINISTRATIVA (SEZIONE DOCUMENTAZIONE AMMINISTRATIVA)</w:t>
      </w:r>
      <w:r w:rsidR="009A7B8C" w:rsidRPr="00C24F90">
        <w:t xml:space="preserve"> IN CUI </w:t>
      </w:r>
      <w:r w:rsidR="009A7B8C" w:rsidRPr="00480137">
        <w:rPr>
          <w:u w:val="single"/>
        </w:rPr>
        <w:t>DOVRANNO ESSERE INSERITI</w:t>
      </w:r>
      <w:r w:rsidR="009A7B8C" w:rsidRPr="00C24F90">
        <w:t xml:space="preserve"> </w:t>
      </w:r>
      <w:r w:rsidR="009A7B8C" w:rsidRPr="00480137">
        <w:t>ANCHE</w:t>
      </w:r>
      <w:bookmarkStart w:id="0" w:name="_GoBack"/>
      <w:r w:rsidR="009A7B8C" w:rsidRPr="00480137">
        <w:t xml:space="preserve"> </w:t>
      </w:r>
      <w:bookmarkEnd w:id="0"/>
      <w:r w:rsidR="009A7B8C" w:rsidRPr="00C24F90">
        <w:t xml:space="preserve">IL PATTO DI INTEGRITA’ E IL PASSOE </w:t>
      </w:r>
    </w:p>
    <w:p w:rsidR="00BE3011" w:rsidRPr="00C24F90" w:rsidRDefault="00BE3011" w:rsidP="00C24F90">
      <w:pPr>
        <w:pStyle w:val="Numeroelenco"/>
        <w:tabs>
          <w:tab w:val="left" w:pos="0"/>
        </w:tabs>
        <w:autoSpaceDE w:val="0"/>
        <w:autoSpaceDN w:val="0"/>
        <w:adjustRightInd w:val="0"/>
        <w:spacing w:line="300" w:lineRule="exact"/>
        <w:ind w:left="0" w:firstLine="426"/>
        <w:rPr>
          <w:rFonts w:ascii="Times New Roman" w:hAnsi="Times New Roman"/>
          <w:b/>
          <w:sz w:val="24"/>
          <w:szCs w:val="24"/>
        </w:rPr>
      </w:pPr>
      <w:r w:rsidRPr="00C24F90">
        <w:rPr>
          <w:rFonts w:ascii="Times New Roman" w:hAnsi="Times New Roman"/>
          <w:b/>
          <w:sz w:val="24"/>
          <w:szCs w:val="24"/>
        </w:rPr>
        <w:t>PATTO D’INTEGRITA’</w:t>
      </w:r>
    </w:p>
    <w:p w:rsidR="00BE3011" w:rsidRPr="00C24F90" w:rsidRDefault="00BE3011" w:rsidP="00C24F90">
      <w:pPr>
        <w:ind w:firstLine="426"/>
        <w:jc w:val="both"/>
      </w:pPr>
      <w:r w:rsidRPr="00C24F90">
        <w:t xml:space="preserve">Contestualmente all’invio dell’offerta, l’operatore economico dovrà restituire, </w:t>
      </w:r>
      <w:r w:rsidRPr="00C24F90">
        <w:rPr>
          <w:noProof/>
        </w:rPr>
        <w:t xml:space="preserve">debitamente sottoscritto </w:t>
      </w:r>
      <w:r w:rsidRPr="00C24F90">
        <w:rPr>
          <w:rFonts w:eastAsia="TrebuchetMS"/>
        </w:rPr>
        <w:t>dal legale rappresentante dell’impresa,</w:t>
      </w:r>
      <w:r w:rsidRPr="00C24F90">
        <w:t xml:space="preserve"> il Patto di Integrità allegato alla documentazione di gara e predisposto nel rispetto di quanto previsto dal Piano nazionale anticorruzione dell’11 settembre 2013 e dal D.P.C.M. del 31 gennaio 2014 recante il “Piano triennale per la prevenzione della corruzione 2014/2016” di questa Presidenza, adottati in attuazione dell’articolo 1, comma 17, della legge n. 190/2012. </w:t>
      </w:r>
    </w:p>
    <w:p w:rsidR="00C83689" w:rsidRDefault="00BE3011" w:rsidP="00C24F90">
      <w:pPr>
        <w:ind w:firstLine="426"/>
        <w:jc w:val="both"/>
        <w:rPr>
          <w:noProof/>
        </w:rPr>
      </w:pPr>
      <w:r w:rsidRPr="00C24F90">
        <w:rPr>
          <w:noProof/>
        </w:rPr>
        <w:t>Il Patto di integrità</w:t>
      </w:r>
      <w:r w:rsidRPr="00C24F90">
        <w:rPr>
          <w:rFonts w:eastAsia="TrebuchetMS"/>
        </w:rPr>
        <w:t xml:space="preserve">, </w:t>
      </w:r>
      <w:r w:rsidRPr="00C24F90">
        <w:rPr>
          <w:rFonts w:eastAsia="TrebuchetMS"/>
          <w:u w:val="single"/>
        </w:rPr>
        <w:t xml:space="preserve">dovrà essere inserito a sistema nella sezione “documentazione amministrativa” </w:t>
      </w:r>
      <w:r w:rsidRPr="00C24F90">
        <w:rPr>
          <w:noProof/>
          <w:u w:val="single"/>
        </w:rPr>
        <w:t>a pena di esclusione dalla procedura</w:t>
      </w:r>
      <w:r w:rsidRPr="00C24F90">
        <w:rPr>
          <w:noProof/>
        </w:rPr>
        <w:t>, e costituisce parte integrante del contratto che si andrà a stipulare</w:t>
      </w:r>
      <w:r w:rsidR="00927782" w:rsidRPr="00C24F90">
        <w:rPr>
          <w:noProof/>
        </w:rPr>
        <w:t xml:space="preserve"> con l’aggiudicatario</w:t>
      </w:r>
      <w:r w:rsidR="00C83689">
        <w:rPr>
          <w:noProof/>
        </w:rPr>
        <w:t>.</w:t>
      </w:r>
    </w:p>
    <w:p w:rsidR="00BE3011" w:rsidRPr="00C24F90" w:rsidRDefault="00927782" w:rsidP="00C24F90">
      <w:pPr>
        <w:ind w:firstLine="426"/>
        <w:jc w:val="both"/>
        <w:rPr>
          <w:b/>
        </w:rPr>
      </w:pPr>
      <w:r w:rsidRPr="00C24F90">
        <w:rPr>
          <w:noProof/>
        </w:rPr>
        <w:t xml:space="preserve"> </w:t>
      </w:r>
      <w:r w:rsidR="00BE3011" w:rsidRPr="00C24F90">
        <w:rPr>
          <w:noProof/>
        </w:rPr>
        <w:t xml:space="preserve"> </w:t>
      </w:r>
      <w:r w:rsidR="00BE3011" w:rsidRPr="00C24F90">
        <w:rPr>
          <w:b/>
        </w:rPr>
        <w:t xml:space="preserve">PASSOE </w:t>
      </w:r>
    </w:p>
    <w:p w:rsidR="00BE3011" w:rsidRPr="00C24F90" w:rsidRDefault="00BE3011" w:rsidP="00C24F90">
      <w:pPr>
        <w:widowControl w:val="0"/>
        <w:autoSpaceDE w:val="0"/>
        <w:autoSpaceDN w:val="0"/>
        <w:adjustRightInd w:val="0"/>
        <w:spacing w:line="300" w:lineRule="exact"/>
        <w:ind w:firstLine="426"/>
        <w:jc w:val="both"/>
      </w:pPr>
      <w:r w:rsidRPr="00C24F90">
        <w:rPr>
          <w:rFonts w:eastAsia="TrebuchetMS"/>
        </w:rPr>
        <w:t xml:space="preserve">Ai fini dell’aggiudicazione, come previsto dall’art. 36, comma 5, del </w:t>
      </w:r>
      <w:r w:rsidRPr="00C24F90">
        <w:t xml:space="preserve">D.Lgs. 19 aprile 2016, n. 50, </w:t>
      </w:r>
      <w:r w:rsidRPr="00C24F90">
        <w:rPr>
          <w:i/>
        </w:rPr>
        <w:t>“…le stazioni appaltanti verificano esclusivamente i requisisti di carattere generale mediante consultazione della Banca Dati nazionale degli operatori economici  di cui all’art. 81</w:t>
      </w:r>
      <w:r w:rsidRPr="00C24F90">
        <w:t>”. Come indicato al successivo art. 216, comma 13, del medesimo decreto ”</w:t>
      </w:r>
      <w:r w:rsidRPr="00C24F90">
        <w:rPr>
          <w:i/>
        </w:rPr>
        <w:t>Fino all’entrata in vigore del decreto di cui all’art 81, comma 2, le stazioni appaltanti e gli operatori economici utilizzano la Banca dati  AVC Pass istituita presso l’ANAC</w:t>
      </w:r>
      <w:r w:rsidRPr="00C24F90">
        <w:t>”.</w:t>
      </w:r>
    </w:p>
    <w:p w:rsidR="00BE3011" w:rsidRPr="00C24F90" w:rsidRDefault="00BE3011" w:rsidP="00C24F90">
      <w:pPr>
        <w:widowControl w:val="0"/>
        <w:autoSpaceDE w:val="0"/>
        <w:autoSpaceDN w:val="0"/>
        <w:adjustRightInd w:val="0"/>
        <w:spacing w:line="300" w:lineRule="exact"/>
        <w:ind w:firstLine="426"/>
        <w:jc w:val="both"/>
      </w:pPr>
      <w:r w:rsidRPr="00C24F90">
        <w:rPr>
          <w:rFonts w:eastAsia="TrebuchetMS"/>
        </w:rPr>
        <w:t xml:space="preserve">Secondo quanto indicato nella </w:t>
      </w:r>
      <w:r w:rsidRPr="00C24F90">
        <w:rPr>
          <w:bCs/>
        </w:rPr>
        <w:t xml:space="preserve">Deliberazione ANAC n. 157 del 17.2.2016, recante l’aggiornamento della Deliberazione dell’Autorità per la vigilanza sui contratti pubblici 20 dicembre 2012, n. 111, </w:t>
      </w:r>
      <w:r w:rsidRPr="00C83689">
        <w:rPr>
          <w:bCs/>
          <w:u w:val="single"/>
        </w:rPr>
        <w:t>c</w:t>
      </w:r>
      <w:r w:rsidRPr="00C83689">
        <w:rPr>
          <w:rFonts w:eastAsia="TrebuchetMS"/>
          <w:color w:val="000000"/>
          <w:u w:val="single"/>
        </w:rPr>
        <w:t>iascun concorrente</w:t>
      </w:r>
      <w:r w:rsidRPr="00C24F90">
        <w:rPr>
          <w:rFonts w:eastAsia="TrebuchetMS"/>
          <w:color w:val="000000"/>
        </w:rPr>
        <w:t>, tramite il servizio AVCPASS (</w:t>
      </w:r>
      <w:hyperlink r:id="rId8" w:history="1">
        <w:r w:rsidRPr="00C24F90">
          <w:rPr>
            <w:rFonts w:eastAsia="TrebuchetMS"/>
            <w:color w:val="0000FF"/>
            <w:u w:val="single"/>
          </w:rPr>
          <w:t>http://www.anticorruzione.it/portal/public/classic/Servizi/ServiziOnline/AVCpass</w:t>
        </w:r>
      </w:hyperlink>
      <w:r w:rsidRPr="00C24F90">
        <w:rPr>
          <w:rFonts w:eastAsia="TrebuchetMS"/>
          <w:color w:val="000000"/>
        </w:rPr>
        <w:t xml:space="preserve">), </w:t>
      </w:r>
      <w:r w:rsidRPr="00C24F90">
        <w:t xml:space="preserve">indica a sistema il CIG della procedura di affidamento in argomento ed  </w:t>
      </w:r>
      <w:r w:rsidRPr="00C24F90">
        <w:rPr>
          <w:rFonts w:eastAsia="TrebuchetMS"/>
          <w:color w:val="000000"/>
        </w:rPr>
        <w:t xml:space="preserve">ottiene dal sistema un “PASSOE” che </w:t>
      </w:r>
      <w:r w:rsidRPr="00C24F90">
        <w:rPr>
          <w:rFonts w:eastAsia="TrebuchetMS"/>
          <w:color w:val="000000"/>
          <w:u w:val="single"/>
        </w:rPr>
        <w:t>dovrà essere inserito a sistema nella sezione “Documentazione Amministrativa”</w:t>
      </w:r>
      <w:r w:rsidRPr="00C24F90">
        <w:rPr>
          <w:rFonts w:eastAsia="TrebuchetMS"/>
          <w:color w:val="000000"/>
        </w:rPr>
        <w:t xml:space="preserve">. Come specificato all’art. 2, punto 3 - lett. b, della predetta Deliberazione </w:t>
      </w:r>
      <w:r w:rsidRPr="00C24F90">
        <w:t xml:space="preserve">il mancato inserimento del </w:t>
      </w:r>
      <w:r w:rsidRPr="00C24F90">
        <w:rPr>
          <w:rFonts w:eastAsia="TrebuchetMS"/>
          <w:color w:val="000000"/>
        </w:rPr>
        <w:t xml:space="preserve">“PASSOE” </w:t>
      </w:r>
      <w:r w:rsidRPr="00C24F90">
        <w:t>nella busta contenente la documentazione amministrativa non costituisce causa di esclusione, trattandosi di elemento esigibile - ed indispensabile sotto il profilo della celere e sicura verifica del possesso dei requisiti ai sensi dell’art. 6-</w:t>
      </w:r>
      <w:r w:rsidRPr="00C24F90">
        <w:rPr>
          <w:i/>
          <w:iCs/>
        </w:rPr>
        <w:t xml:space="preserve">bis </w:t>
      </w:r>
      <w:r w:rsidRPr="00C24F90">
        <w:t xml:space="preserve">del </w:t>
      </w:r>
      <w:r w:rsidRPr="00C24F90">
        <w:rPr>
          <w:rFonts w:eastAsia="TrebuchetMS"/>
        </w:rPr>
        <w:t xml:space="preserve">D.Lgs. n. 163/2006 e s.m.i., </w:t>
      </w:r>
      <w:r w:rsidRPr="00C24F90">
        <w:t xml:space="preserve">- da parte della stazione appaltante e da regolarizzare, a pena di esclusione e senza applicazione di sanzione </w:t>
      </w:r>
      <w:r w:rsidRPr="00C24F90">
        <w:lastRenderedPageBreak/>
        <w:t>alcuna, nella prima seduta di gara o nel diverso termine assegnato nel corso della medesima.</w:t>
      </w:r>
    </w:p>
    <w:p w:rsidR="00EE45DD" w:rsidRPr="00C24F90" w:rsidRDefault="00EE45DD" w:rsidP="00C24F90">
      <w:pPr>
        <w:widowControl w:val="0"/>
        <w:autoSpaceDE w:val="0"/>
        <w:autoSpaceDN w:val="0"/>
        <w:adjustRightInd w:val="0"/>
        <w:spacing w:line="300" w:lineRule="exact"/>
        <w:ind w:firstLine="426"/>
        <w:jc w:val="both"/>
        <w:rPr>
          <w:rFonts w:eastAsia="TrebuchetMS"/>
          <w:color w:val="000000"/>
        </w:rPr>
      </w:pPr>
    </w:p>
    <w:p w:rsidR="009A7B8C" w:rsidRPr="00C24F90" w:rsidRDefault="009A7B8C" w:rsidP="00C24F90">
      <w:pPr>
        <w:pStyle w:val="Paragrafoelenco"/>
        <w:widowControl w:val="0"/>
        <w:numPr>
          <w:ilvl w:val="0"/>
          <w:numId w:val="12"/>
        </w:numPr>
        <w:autoSpaceDE w:val="0"/>
        <w:autoSpaceDN w:val="0"/>
        <w:adjustRightInd w:val="0"/>
        <w:spacing w:line="300" w:lineRule="exact"/>
        <w:ind w:left="0" w:firstLine="426"/>
        <w:jc w:val="both"/>
        <w:rPr>
          <w:rFonts w:eastAsia="TrebuchetMS"/>
          <w:color w:val="000000"/>
        </w:rPr>
      </w:pPr>
      <w:r w:rsidRPr="00C24F90">
        <w:rPr>
          <w:rFonts w:eastAsia="TrebuchetMS"/>
          <w:color w:val="000000"/>
        </w:rPr>
        <w:t xml:space="preserve">OFFERTA TECNICA </w:t>
      </w:r>
    </w:p>
    <w:p w:rsidR="003D2624" w:rsidRPr="00C24F90" w:rsidRDefault="009D6FD2" w:rsidP="00C24F90">
      <w:pPr>
        <w:ind w:firstLine="426"/>
        <w:jc w:val="both"/>
        <w:rPr>
          <w:rStyle w:val="NormalePCM"/>
          <w:rFonts w:ascii="Times New Roman" w:hAnsi="Times New Roman"/>
          <w:b/>
          <w:sz w:val="24"/>
          <w:u w:val="single"/>
        </w:rPr>
      </w:pPr>
      <w:r w:rsidRPr="00C24F90">
        <w:rPr>
          <w:rStyle w:val="NormalePCM"/>
          <w:rFonts w:ascii="Times New Roman" w:hAnsi="Times New Roman"/>
          <w:b/>
          <w:sz w:val="24"/>
          <w:u w:val="single"/>
        </w:rPr>
        <w:t>Punteggio tecnico – PT (</w:t>
      </w:r>
      <w:r w:rsidR="003D2624" w:rsidRPr="00C24F90">
        <w:rPr>
          <w:rStyle w:val="NormalePCM"/>
          <w:rFonts w:ascii="Times New Roman" w:hAnsi="Times New Roman"/>
          <w:b/>
          <w:sz w:val="24"/>
          <w:u w:val="single"/>
        </w:rPr>
        <w:t>7</w:t>
      </w:r>
      <w:r w:rsidRPr="00C24F90">
        <w:rPr>
          <w:rStyle w:val="NormalePCM"/>
          <w:rFonts w:ascii="Times New Roman" w:hAnsi="Times New Roman"/>
          <w:b/>
          <w:sz w:val="24"/>
          <w:u w:val="single"/>
        </w:rPr>
        <w:t>0 punti)</w:t>
      </w:r>
      <w:r w:rsidR="003D2624" w:rsidRPr="00C24F90">
        <w:rPr>
          <w:rStyle w:val="NormalePCM"/>
          <w:rFonts w:ascii="Times New Roman" w:hAnsi="Times New Roman"/>
          <w:b/>
          <w:sz w:val="24"/>
          <w:u w:val="single"/>
        </w:rPr>
        <w:t xml:space="preserve"> </w:t>
      </w:r>
      <w:r w:rsidR="00BE3011" w:rsidRPr="00C24F90">
        <w:rPr>
          <w:rStyle w:val="NormalePCM"/>
          <w:rFonts w:ascii="Times New Roman" w:hAnsi="Times New Roman"/>
          <w:b/>
          <w:sz w:val="24"/>
          <w:u w:val="single"/>
        </w:rPr>
        <w:t xml:space="preserve"> (</w:t>
      </w:r>
      <w:r w:rsidR="00E932D0" w:rsidRPr="00C24F90">
        <w:rPr>
          <w:rStyle w:val="NormalePCM"/>
          <w:rFonts w:ascii="Times New Roman" w:hAnsi="Times New Roman"/>
          <w:b/>
          <w:sz w:val="24"/>
          <w:u w:val="single"/>
        </w:rPr>
        <w:t xml:space="preserve">uguale </w:t>
      </w:r>
      <w:r w:rsidR="00BE3011" w:rsidRPr="00C24F90">
        <w:rPr>
          <w:rStyle w:val="NormalePCM"/>
          <w:rFonts w:ascii="Times New Roman" w:hAnsi="Times New Roman"/>
          <w:b/>
          <w:sz w:val="24"/>
          <w:u w:val="single"/>
        </w:rPr>
        <w:t>per entrambi i lotti )</w:t>
      </w:r>
    </w:p>
    <w:p w:rsidR="00C73F65" w:rsidRPr="00C24F90" w:rsidRDefault="00C73F65" w:rsidP="00C24F90">
      <w:pPr>
        <w:ind w:firstLine="426"/>
        <w:jc w:val="both"/>
        <w:rPr>
          <w:rStyle w:val="NormalePCM"/>
          <w:rFonts w:ascii="Times New Roman" w:hAnsi="Times New Roman"/>
          <w:sz w:val="24"/>
        </w:rPr>
      </w:pPr>
    </w:p>
    <w:p w:rsidR="003A5A75" w:rsidRPr="00C24F90" w:rsidRDefault="003A5A75" w:rsidP="00C24F90">
      <w:pPr>
        <w:ind w:firstLine="426"/>
        <w:jc w:val="both"/>
        <w:rPr>
          <w:rStyle w:val="NormalePCM"/>
          <w:rFonts w:ascii="Times New Roman" w:hAnsi="Times New Roman"/>
          <w:sz w:val="24"/>
        </w:rPr>
      </w:pPr>
      <w:r w:rsidRPr="00C24F90">
        <w:rPr>
          <w:rStyle w:val="NormalePCM"/>
          <w:rFonts w:ascii="Times New Roman" w:hAnsi="Times New Roman"/>
          <w:sz w:val="24"/>
        </w:rPr>
        <w:t xml:space="preserve">Per la valutazione dell’offerta tecnica </w:t>
      </w:r>
      <w:r w:rsidR="00C73F65" w:rsidRPr="00C24F90">
        <w:rPr>
          <w:rStyle w:val="NormalePCM"/>
          <w:rFonts w:ascii="Times New Roman" w:hAnsi="Times New Roman"/>
          <w:sz w:val="24"/>
        </w:rPr>
        <w:t xml:space="preserve">e l’attribuzione dei relativi punteggi </w:t>
      </w:r>
      <w:r w:rsidRPr="00C24F90">
        <w:rPr>
          <w:rStyle w:val="NormalePCM"/>
          <w:rFonts w:ascii="Times New Roman" w:hAnsi="Times New Roman"/>
          <w:sz w:val="24"/>
        </w:rPr>
        <w:t>saranno utilizzati i seguenti criteri</w:t>
      </w:r>
      <w:r w:rsidR="009A7B8C" w:rsidRPr="00C24F90">
        <w:rPr>
          <w:rStyle w:val="NormalePCM"/>
          <w:rFonts w:ascii="Times New Roman" w:hAnsi="Times New Roman"/>
          <w:sz w:val="24"/>
        </w:rPr>
        <w:t xml:space="preserve"> comuni ai due lotti </w:t>
      </w:r>
      <w:r w:rsidRPr="00C24F90">
        <w:rPr>
          <w:rStyle w:val="NormalePCM"/>
          <w:rFonts w:ascii="Times New Roman" w:hAnsi="Times New Roman"/>
          <w:sz w:val="24"/>
        </w:rPr>
        <w:t xml:space="preserve">: </w:t>
      </w:r>
    </w:p>
    <w:p w:rsidR="009D6FD2" w:rsidRPr="00C24F90" w:rsidRDefault="009D6FD2" w:rsidP="00C24F90">
      <w:pPr>
        <w:pStyle w:val="Default"/>
        <w:ind w:firstLine="426"/>
        <w:jc w:val="both"/>
        <w:rPr>
          <w:bCs/>
        </w:rPr>
      </w:pPr>
    </w:p>
    <w:p w:rsidR="00095510" w:rsidRPr="00C24F90" w:rsidRDefault="00095510" w:rsidP="00C24F90">
      <w:pPr>
        <w:numPr>
          <w:ilvl w:val="0"/>
          <w:numId w:val="6"/>
        </w:numPr>
        <w:spacing w:after="200" w:line="276" w:lineRule="auto"/>
        <w:ind w:left="0" w:firstLine="426"/>
        <w:contextualSpacing/>
        <w:jc w:val="both"/>
        <w:rPr>
          <w:rFonts w:eastAsiaTheme="minorEastAsia"/>
        </w:rPr>
      </w:pPr>
      <w:r w:rsidRPr="00C24F90">
        <w:rPr>
          <w:rFonts w:eastAsiaTheme="minorEastAsia"/>
        </w:rPr>
        <w:t>Copertura diretta CAP nazionali (MAX 20 punti: &lt;30%=0 punti; 30-50%= 7 punti; 51-75%= 15 punti; &gt;75%=20 punti)</w:t>
      </w:r>
    </w:p>
    <w:p w:rsidR="00095510" w:rsidRPr="00C24F90" w:rsidRDefault="00095510" w:rsidP="00C24F90">
      <w:pPr>
        <w:numPr>
          <w:ilvl w:val="0"/>
          <w:numId w:val="6"/>
        </w:numPr>
        <w:spacing w:after="200" w:line="276" w:lineRule="auto"/>
        <w:ind w:left="0" w:firstLine="426"/>
        <w:contextualSpacing/>
        <w:jc w:val="both"/>
        <w:rPr>
          <w:rFonts w:eastAsiaTheme="minorEastAsia"/>
        </w:rPr>
      </w:pPr>
      <w:r w:rsidRPr="00C24F90">
        <w:rPr>
          <w:rFonts w:eastAsiaTheme="minorEastAsia"/>
        </w:rPr>
        <w:t>Punti di distribuzione/giacenza (PDD) su territorio nazionale (MAX 25 punti: 0-30 PDD=0 punti; 31-50 PDD =5 punti; 51-75= 10 punti; 75-100 PDD = 15 punti; 101-150 PDD=20 punti; oltre 150 PDD=25 punti)</w:t>
      </w:r>
    </w:p>
    <w:p w:rsidR="00095510" w:rsidRPr="00C24F90" w:rsidRDefault="00095510" w:rsidP="00C24F90">
      <w:pPr>
        <w:numPr>
          <w:ilvl w:val="0"/>
          <w:numId w:val="6"/>
        </w:numPr>
        <w:spacing w:after="200" w:line="276" w:lineRule="auto"/>
        <w:ind w:left="0" w:firstLine="426"/>
        <w:contextualSpacing/>
        <w:jc w:val="both"/>
        <w:rPr>
          <w:rFonts w:eastAsiaTheme="minorEastAsia"/>
        </w:rPr>
      </w:pPr>
      <w:r w:rsidRPr="00C24F90">
        <w:rPr>
          <w:rFonts w:eastAsiaTheme="minorEastAsia"/>
        </w:rPr>
        <w:t>Possesso certificazione di tutela ambientale ISO 14001 (5 punti)</w:t>
      </w:r>
      <w:r w:rsidR="003B233C" w:rsidRPr="00C24F90">
        <w:rPr>
          <w:rFonts w:eastAsiaTheme="minorEastAsia"/>
        </w:rPr>
        <w:t xml:space="preserve">  </w:t>
      </w:r>
    </w:p>
    <w:p w:rsidR="00095510" w:rsidRPr="00C24F90" w:rsidRDefault="00095510" w:rsidP="00C24F90">
      <w:pPr>
        <w:numPr>
          <w:ilvl w:val="0"/>
          <w:numId w:val="6"/>
        </w:numPr>
        <w:spacing w:after="200" w:line="276" w:lineRule="auto"/>
        <w:ind w:left="0" w:firstLine="426"/>
        <w:contextualSpacing/>
        <w:jc w:val="both"/>
        <w:rPr>
          <w:bCs/>
        </w:rPr>
      </w:pPr>
      <w:r w:rsidRPr="00C24F90">
        <w:rPr>
          <w:rFonts w:eastAsiaTheme="minorEastAsia"/>
        </w:rPr>
        <w:t>Percentuale di consegna entro 3 giorni della raccomandata A/R sul territorio nazionale (MAX 10 punti: 0-70%:0 punti; 71-90%=5 punti; &gt;90%=10 punti)</w:t>
      </w:r>
    </w:p>
    <w:p w:rsidR="003D2624" w:rsidRPr="00C24F90" w:rsidRDefault="00095510" w:rsidP="00C24F90">
      <w:pPr>
        <w:numPr>
          <w:ilvl w:val="0"/>
          <w:numId w:val="6"/>
        </w:numPr>
        <w:spacing w:after="200" w:line="276" w:lineRule="auto"/>
        <w:ind w:left="0" w:firstLine="426"/>
        <w:contextualSpacing/>
        <w:jc w:val="both"/>
        <w:rPr>
          <w:bCs/>
        </w:rPr>
      </w:pPr>
      <w:r w:rsidRPr="00C24F90">
        <w:rPr>
          <w:rFonts w:eastAsiaTheme="minorEastAsia"/>
        </w:rPr>
        <w:t>Percentuale di consegna entro 5 giorni della corrispondenza ordinaria sul territorio nazionale (MAX 10 punti: 0-70%=0 punti; 71-90%=5 punti; &gt;90%=10 punti)</w:t>
      </w:r>
    </w:p>
    <w:p w:rsidR="00ED521A" w:rsidRPr="00C24F90" w:rsidRDefault="00ED521A" w:rsidP="00C24F90">
      <w:pPr>
        <w:ind w:right="-82" w:firstLine="426"/>
        <w:jc w:val="both"/>
      </w:pPr>
    </w:p>
    <w:p w:rsidR="00BC4BF1" w:rsidRPr="00C24F90" w:rsidRDefault="00BC4BF1" w:rsidP="00C24F90">
      <w:pPr>
        <w:ind w:right="-82" w:firstLine="426"/>
        <w:jc w:val="both"/>
      </w:pPr>
      <w:r w:rsidRPr="00C24F90">
        <w:t xml:space="preserve">Il calcolo del punteggio tecnico determinato secondo i criteri predefiniti di cui </w:t>
      </w:r>
      <w:r w:rsidR="003D2624" w:rsidRPr="00C24F90">
        <w:t xml:space="preserve">sopra </w:t>
      </w:r>
      <w:r w:rsidRPr="00C24F90">
        <w:t>verrà effettuato da una apposita Commissione giudicatrice</w:t>
      </w:r>
      <w:r w:rsidR="00F56C2A" w:rsidRPr="00C24F90">
        <w:t xml:space="preserve">, </w:t>
      </w:r>
      <w:r w:rsidR="00931138" w:rsidRPr="00C24F90">
        <w:t xml:space="preserve">in una o più sedute </w:t>
      </w:r>
      <w:r w:rsidRPr="00C24F90">
        <w:t>riservat</w:t>
      </w:r>
      <w:r w:rsidR="00931138" w:rsidRPr="00C24F90">
        <w:t>e</w:t>
      </w:r>
      <w:r w:rsidRPr="00C24F90">
        <w:t xml:space="preserve">. </w:t>
      </w:r>
    </w:p>
    <w:p w:rsidR="009D6FD2" w:rsidRPr="00C24F90" w:rsidRDefault="009D6FD2" w:rsidP="00C24F90">
      <w:pPr>
        <w:ind w:right="-82" w:firstLine="426"/>
        <w:jc w:val="both"/>
      </w:pPr>
    </w:p>
    <w:p w:rsidR="00DB028E" w:rsidRPr="00C24F90" w:rsidRDefault="008E37A9" w:rsidP="00C24F90">
      <w:pPr>
        <w:ind w:right="-82" w:firstLine="426"/>
        <w:jc w:val="both"/>
      </w:pPr>
      <w:r w:rsidRPr="00C24F90">
        <w:t xml:space="preserve">L’OFFERTA TECNICA DELL’ IMPRESA OFFERENTE DOVRA’ ESSERE </w:t>
      </w:r>
      <w:r w:rsidR="00EE45DD" w:rsidRPr="00C24F90">
        <w:t xml:space="preserve">PRESENTATA CON LA COMPILAZIONE DELL’APPOSITA  SCHEDA PREDISPOSTA DALL’AMMINISTRAZIONE </w:t>
      </w:r>
      <w:r w:rsidRPr="00C24F90">
        <w:t>SO</w:t>
      </w:r>
      <w:r w:rsidR="00C73F65" w:rsidRPr="00C24F90">
        <w:t>T</w:t>
      </w:r>
      <w:r w:rsidRPr="00C24F90">
        <w:t xml:space="preserve">TOSCRITTA DIGITALMENTE DAL LEGALE RAPPRESENTANTE </w:t>
      </w:r>
      <w:r w:rsidR="00F56C2A" w:rsidRPr="00C24F90">
        <w:t>DELL</w:t>
      </w:r>
      <w:r w:rsidR="00504D06" w:rsidRPr="00C24F90">
        <w:t xml:space="preserve">’ </w:t>
      </w:r>
      <w:r w:rsidR="00F56C2A" w:rsidRPr="00C24F90">
        <w:t xml:space="preserve">IMPRESA ABILITATO SUL MEPA </w:t>
      </w:r>
      <w:r w:rsidRPr="00C24F90">
        <w:t xml:space="preserve">E INSERITA A SISTEMA </w:t>
      </w:r>
      <w:r w:rsidR="00DB028E" w:rsidRPr="00C24F90">
        <w:t>COME “ SCHEDA ALLEGATA ALL’OFFERTA TECNICA”</w:t>
      </w:r>
      <w:r w:rsidR="00A758F3" w:rsidRPr="00C24F90">
        <w:t>.</w:t>
      </w:r>
      <w:r w:rsidR="00DB028E" w:rsidRPr="00C24F90">
        <w:t xml:space="preserve"> </w:t>
      </w:r>
    </w:p>
    <w:p w:rsidR="00A758F3" w:rsidRPr="00C24F90" w:rsidRDefault="00A758F3" w:rsidP="00C24F90">
      <w:pPr>
        <w:ind w:right="-82" w:firstLine="426"/>
        <w:jc w:val="both"/>
      </w:pPr>
    </w:p>
    <w:p w:rsidR="00EE45DD" w:rsidRPr="00C24F90" w:rsidRDefault="00EE45DD" w:rsidP="00C24F90">
      <w:pPr>
        <w:ind w:right="-82" w:firstLine="426"/>
        <w:jc w:val="both"/>
      </w:pPr>
    </w:p>
    <w:p w:rsidR="00EE45DD" w:rsidRPr="00C24F90" w:rsidRDefault="00EE45DD" w:rsidP="00C24F90">
      <w:pPr>
        <w:pStyle w:val="Paragrafoelenco"/>
        <w:numPr>
          <w:ilvl w:val="0"/>
          <w:numId w:val="12"/>
        </w:numPr>
        <w:ind w:left="0" w:right="-82" w:firstLine="426"/>
        <w:jc w:val="both"/>
      </w:pPr>
      <w:r w:rsidRPr="00C24F90">
        <w:t xml:space="preserve">OFFERTA ECONOMICA </w:t>
      </w:r>
    </w:p>
    <w:p w:rsidR="00EE45DD" w:rsidRPr="00C24F90" w:rsidRDefault="00EE45DD" w:rsidP="00C24F90">
      <w:pPr>
        <w:ind w:right="-82" w:firstLine="426"/>
        <w:jc w:val="both"/>
      </w:pPr>
    </w:p>
    <w:p w:rsidR="00BC4BF1" w:rsidRPr="00C24F90" w:rsidRDefault="00BC4BF1" w:rsidP="00C24F90">
      <w:pPr>
        <w:ind w:firstLine="426"/>
        <w:jc w:val="both"/>
        <w:rPr>
          <w:rStyle w:val="NormalePCM"/>
          <w:rFonts w:ascii="Times New Roman" w:hAnsi="Times New Roman"/>
          <w:b/>
          <w:sz w:val="24"/>
          <w:u w:val="single"/>
        </w:rPr>
      </w:pPr>
      <w:r w:rsidRPr="00C24F90">
        <w:rPr>
          <w:rStyle w:val="NormalePCM"/>
          <w:rFonts w:ascii="Times New Roman" w:hAnsi="Times New Roman"/>
          <w:b/>
          <w:sz w:val="24"/>
          <w:u w:val="single"/>
        </w:rPr>
        <w:t>Punteggio economico – P</w:t>
      </w:r>
      <w:r w:rsidR="00ED521A" w:rsidRPr="00C24F90">
        <w:rPr>
          <w:rStyle w:val="NormalePCM"/>
          <w:rFonts w:ascii="Times New Roman" w:hAnsi="Times New Roman"/>
          <w:b/>
          <w:sz w:val="24"/>
          <w:u w:val="single"/>
        </w:rPr>
        <w:t>E</w:t>
      </w:r>
      <w:r w:rsidRPr="00C24F90">
        <w:rPr>
          <w:rStyle w:val="NormalePCM"/>
          <w:rFonts w:ascii="Times New Roman" w:hAnsi="Times New Roman"/>
          <w:b/>
          <w:sz w:val="24"/>
          <w:u w:val="single"/>
        </w:rPr>
        <w:t xml:space="preserve"> (</w:t>
      </w:r>
      <w:r w:rsidR="003D2624" w:rsidRPr="00C24F90">
        <w:rPr>
          <w:rStyle w:val="NormalePCM"/>
          <w:rFonts w:ascii="Times New Roman" w:hAnsi="Times New Roman"/>
          <w:b/>
          <w:sz w:val="24"/>
          <w:u w:val="single"/>
        </w:rPr>
        <w:t>3</w:t>
      </w:r>
      <w:r w:rsidRPr="00C24F90">
        <w:rPr>
          <w:rStyle w:val="NormalePCM"/>
          <w:rFonts w:ascii="Times New Roman" w:hAnsi="Times New Roman"/>
          <w:b/>
          <w:sz w:val="24"/>
          <w:u w:val="single"/>
        </w:rPr>
        <w:t>0 punti)</w:t>
      </w:r>
      <w:r w:rsidR="00BE3011" w:rsidRPr="00C24F90">
        <w:rPr>
          <w:rStyle w:val="NormalePCM"/>
          <w:rFonts w:ascii="Times New Roman" w:hAnsi="Times New Roman"/>
          <w:b/>
          <w:sz w:val="24"/>
          <w:u w:val="single"/>
        </w:rPr>
        <w:t xml:space="preserve"> (</w:t>
      </w:r>
      <w:r w:rsidR="00E932D0" w:rsidRPr="00C24F90">
        <w:rPr>
          <w:rStyle w:val="NormalePCM"/>
          <w:rFonts w:ascii="Times New Roman" w:hAnsi="Times New Roman"/>
          <w:b/>
          <w:sz w:val="24"/>
          <w:u w:val="single"/>
        </w:rPr>
        <w:t xml:space="preserve">uguale </w:t>
      </w:r>
      <w:r w:rsidR="00BE3011" w:rsidRPr="00C24F90">
        <w:rPr>
          <w:rStyle w:val="NormalePCM"/>
          <w:rFonts w:ascii="Times New Roman" w:hAnsi="Times New Roman"/>
          <w:b/>
          <w:sz w:val="24"/>
          <w:u w:val="single"/>
        </w:rPr>
        <w:t>per entrambi i lotti )</w:t>
      </w:r>
    </w:p>
    <w:p w:rsidR="009A7B8C" w:rsidRPr="00C24F90" w:rsidRDefault="009A7B8C" w:rsidP="00C24F90">
      <w:pPr>
        <w:ind w:firstLine="426"/>
        <w:jc w:val="both"/>
        <w:rPr>
          <w:rFonts w:eastAsiaTheme="minorHAnsi"/>
          <w:lang w:eastAsia="en-US"/>
        </w:rPr>
      </w:pPr>
    </w:p>
    <w:p w:rsidR="009A7B8C" w:rsidRPr="00C24F90" w:rsidRDefault="009A7B8C" w:rsidP="00C24F90">
      <w:pPr>
        <w:ind w:firstLine="426"/>
        <w:jc w:val="both"/>
        <w:rPr>
          <w:rFonts w:eastAsiaTheme="minorHAnsi"/>
          <w:lang w:eastAsia="en-US"/>
        </w:rPr>
      </w:pPr>
      <w:r w:rsidRPr="00C24F90">
        <w:rPr>
          <w:rFonts w:eastAsiaTheme="minorHAnsi"/>
          <w:lang w:eastAsia="en-US"/>
        </w:rPr>
        <w:t>La offerta economica (prezzo) dovrà essere espressa con una  percentuale unica di ribasso sulle tariffe ufficiali applicate dal  fornitore universale (Poste Italiane spa), poste a base di gara, al netto di I.V.A. (valido per entrambi i lotti)</w:t>
      </w:r>
      <w:r w:rsidR="00086D10" w:rsidRPr="00C24F90">
        <w:rPr>
          <w:rFonts w:eastAsiaTheme="minorHAnsi"/>
          <w:lang w:eastAsia="en-US"/>
        </w:rPr>
        <w:t>.</w:t>
      </w:r>
    </w:p>
    <w:p w:rsidR="009A7B8C" w:rsidRPr="00C24F90" w:rsidRDefault="009A7B8C" w:rsidP="00C24F90">
      <w:pPr>
        <w:ind w:firstLine="426"/>
        <w:jc w:val="both"/>
        <w:rPr>
          <w:rFonts w:eastAsiaTheme="minorHAnsi"/>
          <w:lang w:eastAsia="en-US"/>
        </w:rPr>
      </w:pPr>
      <w:r w:rsidRPr="00C24F90">
        <w:rPr>
          <w:rFonts w:eastAsiaTheme="minorHAnsi"/>
          <w:lang w:eastAsia="en-US"/>
        </w:rPr>
        <w:t xml:space="preserve"> </w:t>
      </w:r>
    </w:p>
    <w:p w:rsidR="00BC4BF1" w:rsidRPr="00C24F90" w:rsidRDefault="009A7B8C" w:rsidP="00C24F90">
      <w:pPr>
        <w:ind w:firstLine="426"/>
        <w:jc w:val="both"/>
      </w:pPr>
      <w:r w:rsidRPr="00C24F90">
        <w:t xml:space="preserve">Il punteggio economico di </w:t>
      </w:r>
      <w:r w:rsidR="00BC4BF1" w:rsidRPr="00C24F90">
        <w:t>ciascuna offerta sarà attribuito, con</w:t>
      </w:r>
      <w:r w:rsidR="00095510" w:rsidRPr="00C24F90">
        <w:t xml:space="preserve"> la </w:t>
      </w:r>
      <w:r w:rsidR="00BC4BF1" w:rsidRPr="00C24F90">
        <w:t>formula</w:t>
      </w:r>
      <w:r w:rsidR="00095510" w:rsidRPr="00C24F90">
        <w:t xml:space="preserve"> d</w:t>
      </w:r>
      <w:r w:rsidR="00DB028E" w:rsidRPr="00C24F90">
        <w:t xml:space="preserve">ella </w:t>
      </w:r>
      <w:r w:rsidR="00095510" w:rsidRPr="00C24F90">
        <w:t xml:space="preserve"> PROPORZIONALITA’ INVERSA (INTERDIPENDENTE)</w:t>
      </w:r>
      <w:r w:rsidR="00DB028E" w:rsidRPr="00C24F90">
        <w:t>.</w:t>
      </w:r>
      <w:r w:rsidR="00BC4BF1" w:rsidRPr="00C24F90">
        <w:t xml:space="preserve"> </w:t>
      </w:r>
    </w:p>
    <w:p w:rsidR="00BC4BF1" w:rsidRPr="00C24F90" w:rsidRDefault="00BC4BF1" w:rsidP="00C24F90">
      <w:pPr>
        <w:pStyle w:val="Default"/>
        <w:ind w:firstLine="426"/>
        <w:jc w:val="both"/>
        <w:rPr>
          <w:b/>
          <w:bCs/>
          <w:color w:val="auto"/>
        </w:rPr>
      </w:pPr>
    </w:p>
    <w:p w:rsidR="00BC4BF1" w:rsidRPr="00C24F90" w:rsidRDefault="00BC4BF1" w:rsidP="00C24F90">
      <w:pPr>
        <w:ind w:firstLine="426"/>
        <w:jc w:val="both"/>
        <w:rPr>
          <w:rStyle w:val="NormalePCM"/>
          <w:rFonts w:ascii="Times New Roman" w:hAnsi="Times New Roman"/>
          <w:sz w:val="24"/>
        </w:rPr>
      </w:pPr>
      <w:r w:rsidRPr="00C24F90">
        <w:rPr>
          <w:rStyle w:val="NormalePCM"/>
          <w:rFonts w:ascii="Times New Roman" w:hAnsi="Times New Roman"/>
          <w:sz w:val="24"/>
        </w:rPr>
        <w:t xml:space="preserve">Risulterà aggiudicatario </w:t>
      </w:r>
      <w:r w:rsidR="00BE3011" w:rsidRPr="00C24F90">
        <w:rPr>
          <w:rStyle w:val="NormalePCM"/>
          <w:rFonts w:ascii="Times New Roman" w:hAnsi="Times New Roman"/>
          <w:sz w:val="24"/>
        </w:rPr>
        <w:t xml:space="preserve">di ogni lotto </w:t>
      </w:r>
      <w:r w:rsidRPr="00C24F90">
        <w:rPr>
          <w:rStyle w:val="NormalePCM"/>
          <w:rFonts w:ascii="Times New Roman" w:hAnsi="Times New Roman"/>
          <w:sz w:val="24"/>
        </w:rPr>
        <w:t>l’operatore economico la cui offerta avrà ottenuto il punteggio complessivo più alto  (somma del punteggio tecnico e del punteggio economico</w:t>
      </w:r>
      <w:r w:rsidR="009A7B8C" w:rsidRPr="00C24F90">
        <w:rPr>
          <w:rStyle w:val="NormalePCM"/>
          <w:rFonts w:ascii="Times New Roman" w:hAnsi="Times New Roman"/>
          <w:sz w:val="24"/>
        </w:rPr>
        <w:t xml:space="preserve"> conseguiti)</w:t>
      </w:r>
      <w:r w:rsidRPr="00C24F90">
        <w:rPr>
          <w:rStyle w:val="NormalePCM"/>
          <w:rFonts w:ascii="Times New Roman" w:hAnsi="Times New Roman"/>
          <w:sz w:val="24"/>
        </w:rPr>
        <w:t xml:space="preserve">. </w:t>
      </w:r>
    </w:p>
    <w:p w:rsidR="008E37A9" w:rsidRPr="00C24F90" w:rsidRDefault="008E37A9" w:rsidP="00C24F90">
      <w:pPr>
        <w:ind w:right="-82" w:firstLine="426"/>
        <w:jc w:val="both"/>
      </w:pPr>
      <w:r w:rsidRPr="00C24F90">
        <w:t xml:space="preserve">L’Amministrazione si riserva la facoltà di aggiudicare il servizio anche in presenza di una sola offerta valida </w:t>
      </w:r>
    </w:p>
    <w:p w:rsidR="00BC4BF1" w:rsidRPr="00C24F90" w:rsidRDefault="00BC4BF1" w:rsidP="00C24F90">
      <w:pPr>
        <w:autoSpaceDE w:val="0"/>
        <w:autoSpaceDN w:val="0"/>
        <w:adjustRightInd w:val="0"/>
        <w:ind w:firstLine="426"/>
        <w:jc w:val="both"/>
        <w:rPr>
          <w:rStyle w:val="NormalePCM"/>
          <w:rFonts w:ascii="Times New Roman" w:hAnsi="Times New Roman"/>
          <w:sz w:val="24"/>
        </w:rPr>
      </w:pPr>
      <w:r w:rsidRPr="00C24F90">
        <w:rPr>
          <w:rStyle w:val="NormalePCM"/>
          <w:rFonts w:ascii="Times New Roman" w:hAnsi="Times New Roman"/>
          <w:sz w:val="24"/>
        </w:rPr>
        <w:t>In caso di parità di punteggio delle offerte presentate da due o più operatori economici, l’Amministrazione procederà, in seduta pubblica, al sorteggio previsto dall’art. 77, comma 2, del R.D. 827/1924.</w:t>
      </w:r>
    </w:p>
    <w:p w:rsidR="00BC4BF1" w:rsidRPr="00C24F90" w:rsidRDefault="00BC4BF1" w:rsidP="00C24F90">
      <w:pPr>
        <w:autoSpaceDE w:val="0"/>
        <w:autoSpaceDN w:val="0"/>
        <w:adjustRightInd w:val="0"/>
        <w:ind w:firstLine="426"/>
        <w:jc w:val="both"/>
        <w:rPr>
          <w:rStyle w:val="NormalePCM"/>
          <w:rFonts w:ascii="Times New Roman" w:hAnsi="Times New Roman"/>
          <w:sz w:val="24"/>
        </w:rPr>
      </w:pPr>
      <w:r w:rsidRPr="00C24F90">
        <w:rPr>
          <w:rStyle w:val="NormalePCM"/>
          <w:rFonts w:ascii="Times New Roman" w:hAnsi="Times New Roman"/>
          <w:sz w:val="24"/>
        </w:rPr>
        <w:t>L’Amministrazione si riserva la verifica delle offerte anormalmente basse, secondo quanto previsto dell’art. 97 del Codice de</w:t>
      </w:r>
      <w:r w:rsidR="00CC65AE" w:rsidRPr="00C24F90">
        <w:rPr>
          <w:rStyle w:val="NormalePCM"/>
          <w:rFonts w:ascii="Times New Roman" w:hAnsi="Times New Roman"/>
          <w:sz w:val="24"/>
        </w:rPr>
        <w:t>i contratti pubblici</w:t>
      </w:r>
      <w:r w:rsidRPr="00C24F90">
        <w:rPr>
          <w:rStyle w:val="NormalePCM"/>
          <w:rFonts w:ascii="Times New Roman" w:hAnsi="Times New Roman"/>
          <w:sz w:val="24"/>
        </w:rPr>
        <w:t>.</w:t>
      </w:r>
    </w:p>
    <w:p w:rsidR="00BC4BF1" w:rsidRPr="00C24F90" w:rsidRDefault="00BC4BF1" w:rsidP="00C24F90">
      <w:pPr>
        <w:ind w:firstLine="426"/>
        <w:jc w:val="both"/>
        <w:rPr>
          <w:rStyle w:val="NormalePCM"/>
          <w:rFonts w:ascii="Times New Roman" w:hAnsi="Times New Roman"/>
          <w:color w:val="FF0000"/>
          <w:sz w:val="24"/>
        </w:rPr>
      </w:pPr>
      <w:r w:rsidRPr="00C24F90">
        <w:rPr>
          <w:rStyle w:val="NormalePCM"/>
          <w:rFonts w:ascii="Times New Roman" w:hAnsi="Times New Roman"/>
          <w:sz w:val="24"/>
        </w:rPr>
        <w:lastRenderedPageBreak/>
        <w:t xml:space="preserve">Ai sensi dell’art. 95, comma 12, del nuovo </w:t>
      </w:r>
      <w:r w:rsidR="00CC65AE" w:rsidRPr="00C24F90">
        <w:rPr>
          <w:rStyle w:val="NormalePCM"/>
          <w:rFonts w:ascii="Times New Roman" w:hAnsi="Times New Roman"/>
          <w:sz w:val="24"/>
        </w:rPr>
        <w:t>Codice dei contratti pubblici</w:t>
      </w:r>
      <w:r w:rsidRPr="00C24F90">
        <w:rPr>
          <w:rStyle w:val="NormalePCM"/>
          <w:rFonts w:ascii="Times New Roman" w:hAnsi="Times New Roman"/>
          <w:sz w:val="24"/>
        </w:rPr>
        <w:t xml:space="preserve">, l’Amministrazione può decidere di non procedere all’aggiudicazione </w:t>
      </w:r>
      <w:r w:rsidR="004303E9" w:rsidRPr="00C24F90">
        <w:rPr>
          <w:rStyle w:val="NormalePCM"/>
          <w:rFonts w:ascii="Times New Roman" w:hAnsi="Times New Roman"/>
          <w:sz w:val="24"/>
        </w:rPr>
        <w:t>della gara</w:t>
      </w:r>
      <w:r w:rsidRPr="00C24F90">
        <w:rPr>
          <w:rStyle w:val="NormalePCM"/>
          <w:rFonts w:ascii="Times New Roman" w:hAnsi="Times New Roman"/>
          <w:sz w:val="24"/>
        </w:rPr>
        <w:t xml:space="preserve"> qualora nessuna offerta risulti conveniente o idonea in relazione all’oggetto del contratto</w:t>
      </w:r>
      <w:r w:rsidRPr="00C24F90">
        <w:rPr>
          <w:rStyle w:val="NormalePCM"/>
          <w:rFonts w:ascii="Times New Roman" w:hAnsi="Times New Roman"/>
          <w:color w:val="FF0000"/>
          <w:sz w:val="24"/>
        </w:rPr>
        <w:t>.</w:t>
      </w:r>
    </w:p>
    <w:p w:rsidR="00BC4BF1" w:rsidRPr="00C24F90" w:rsidRDefault="00BC4BF1" w:rsidP="00C24F90">
      <w:pPr>
        <w:ind w:firstLine="426"/>
        <w:jc w:val="both"/>
      </w:pPr>
      <w:r w:rsidRPr="00C24F90">
        <w:t>Saranno esclusi dalla presente procedura i concorrenti che offriranno prezzi superiori alla base d’asta</w:t>
      </w:r>
      <w:r w:rsidR="00095510" w:rsidRPr="00C24F90">
        <w:t xml:space="preserve"> </w:t>
      </w:r>
      <w:r w:rsidRPr="00C24F90">
        <w:t>.</w:t>
      </w:r>
    </w:p>
    <w:p w:rsidR="00BC4BF1" w:rsidRPr="00C24F90" w:rsidRDefault="00BC4BF1" w:rsidP="00C24F90">
      <w:pPr>
        <w:ind w:firstLine="426"/>
        <w:jc w:val="both"/>
      </w:pPr>
      <w:r w:rsidRPr="00C24F90">
        <w:t>Saranno inoltre esclusi dalla gara i concorrenti che presentino:</w:t>
      </w:r>
    </w:p>
    <w:p w:rsidR="00BC4BF1" w:rsidRPr="00C24F90" w:rsidRDefault="00BC4BF1" w:rsidP="00C24F90">
      <w:pPr>
        <w:pStyle w:val="Paragrafoelenco"/>
        <w:numPr>
          <w:ilvl w:val="0"/>
          <w:numId w:val="3"/>
        </w:numPr>
        <w:spacing w:line="276" w:lineRule="auto"/>
        <w:ind w:left="0" w:firstLine="426"/>
        <w:contextualSpacing/>
        <w:jc w:val="both"/>
      </w:pPr>
      <w:r w:rsidRPr="00C24F90">
        <w:t xml:space="preserve">offerte nelle quali fossero sollevate eccezioni e/o riserve di qualsiasi natura alle condizioni di fornitura specificate nel </w:t>
      </w:r>
      <w:r w:rsidR="00C73F65" w:rsidRPr="00C24F90">
        <w:t>DOCUMENTO TECNICO</w:t>
      </w:r>
    </w:p>
    <w:p w:rsidR="00BC4BF1" w:rsidRPr="00C24F90" w:rsidRDefault="00BC4BF1" w:rsidP="00C24F90">
      <w:pPr>
        <w:pStyle w:val="Paragrafoelenco"/>
        <w:numPr>
          <w:ilvl w:val="0"/>
          <w:numId w:val="3"/>
        </w:numPr>
        <w:spacing w:line="276" w:lineRule="auto"/>
        <w:ind w:left="0" w:firstLine="426"/>
        <w:contextualSpacing/>
        <w:jc w:val="both"/>
      </w:pPr>
      <w:r w:rsidRPr="00C24F90">
        <w:t>offerte che siano sottoposte a condizione,</w:t>
      </w:r>
    </w:p>
    <w:p w:rsidR="00BC4BF1" w:rsidRPr="00C24F90" w:rsidRDefault="00BC4BF1" w:rsidP="00C24F90">
      <w:pPr>
        <w:pStyle w:val="Paragrafoelenco"/>
        <w:numPr>
          <w:ilvl w:val="0"/>
          <w:numId w:val="3"/>
        </w:numPr>
        <w:spacing w:line="276" w:lineRule="auto"/>
        <w:ind w:left="0" w:firstLine="426"/>
        <w:contextualSpacing/>
        <w:jc w:val="both"/>
      </w:pPr>
      <w:r w:rsidRPr="00C24F90">
        <w:t>offerte che sostituiscano, modifichino e/o integrino le predette condizioni di fornitura,</w:t>
      </w:r>
    </w:p>
    <w:p w:rsidR="00BC4BF1" w:rsidRPr="00C24F90" w:rsidRDefault="00BC4BF1" w:rsidP="00C24F90">
      <w:pPr>
        <w:pStyle w:val="Paragrafoelenco"/>
        <w:numPr>
          <w:ilvl w:val="0"/>
          <w:numId w:val="3"/>
        </w:numPr>
        <w:spacing w:line="276" w:lineRule="auto"/>
        <w:ind w:left="0" w:firstLine="426"/>
        <w:contextualSpacing/>
        <w:jc w:val="both"/>
      </w:pPr>
      <w:r w:rsidRPr="00C24F90">
        <w:t>offerte incomplete e/o parziali,</w:t>
      </w:r>
    </w:p>
    <w:p w:rsidR="00BC4BF1" w:rsidRPr="00C24F90" w:rsidRDefault="00BC4BF1" w:rsidP="00C24F90">
      <w:pPr>
        <w:pStyle w:val="Paragrafoelenco"/>
        <w:numPr>
          <w:ilvl w:val="0"/>
          <w:numId w:val="3"/>
        </w:numPr>
        <w:spacing w:line="276" w:lineRule="auto"/>
        <w:ind w:left="0" w:firstLine="426"/>
        <w:contextualSpacing/>
        <w:jc w:val="both"/>
      </w:pPr>
      <w:r w:rsidRPr="00C24F90">
        <w:t>offerte di servizi aventi modalità difformi, in senso peggiorativo, da quanto stabilito nel</w:t>
      </w:r>
      <w:r w:rsidR="00DB028E" w:rsidRPr="00C24F90">
        <w:t xml:space="preserve"> Documento tecnico</w:t>
      </w:r>
      <w:r w:rsidRPr="00C24F90">
        <w:t>.</w:t>
      </w:r>
    </w:p>
    <w:p w:rsidR="00BC4BF1" w:rsidRPr="00C24F90" w:rsidRDefault="00BC4BF1" w:rsidP="00C24F90">
      <w:pPr>
        <w:ind w:right="-82" w:firstLine="426"/>
        <w:jc w:val="both"/>
      </w:pPr>
    </w:p>
    <w:p w:rsidR="00E4484F" w:rsidRPr="00C24F90" w:rsidRDefault="00E4484F" w:rsidP="00C24F90">
      <w:pPr>
        <w:autoSpaceDE w:val="0"/>
        <w:autoSpaceDN w:val="0"/>
        <w:adjustRightInd w:val="0"/>
        <w:ind w:firstLine="426"/>
        <w:jc w:val="both"/>
        <w:rPr>
          <w:rStyle w:val="NormalePCM"/>
          <w:rFonts w:ascii="Times New Roman" w:hAnsi="Times New Roman"/>
          <w:sz w:val="24"/>
        </w:rPr>
      </w:pPr>
      <w:r w:rsidRPr="00C24F90">
        <w:rPr>
          <w:rStyle w:val="NormalePCM"/>
          <w:rFonts w:ascii="Times New Roman" w:hAnsi="Times New Roman"/>
          <w:sz w:val="24"/>
        </w:rPr>
        <w:t xml:space="preserve">Ai sensi dell’art. 77, comma 1, del </w:t>
      </w:r>
      <w:r w:rsidR="00CC65AE" w:rsidRPr="00C24F90">
        <w:rPr>
          <w:rStyle w:val="NormalePCM"/>
          <w:rFonts w:ascii="Times New Roman" w:hAnsi="Times New Roman"/>
          <w:sz w:val="24"/>
        </w:rPr>
        <w:t xml:space="preserve">Codice dei contratti pubblici </w:t>
      </w:r>
      <w:r w:rsidRPr="00C24F90">
        <w:rPr>
          <w:rStyle w:val="NormalePCM"/>
          <w:rFonts w:ascii="Times New Roman" w:hAnsi="Times New Roman"/>
          <w:sz w:val="24"/>
        </w:rPr>
        <w:t>e della Delibera ANAC n. 1190 del 16 novembre 2016 - Linee Guida n, 5, di attuazione del D. Lgs. 18 aprile 2016, n. 50, recanti “</w:t>
      </w:r>
      <w:r w:rsidRPr="00C24F90">
        <w:rPr>
          <w:rStyle w:val="NormalePCM"/>
          <w:rFonts w:ascii="Times New Roman" w:hAnsi="Times New Roman"/>
          <w:i/>
          <w:sz w:val="24"/>
        </w:rPr>
        <w:t>Criteri di scelta dei commissari di gara e iscrizione degli esperti nell’Albo nazionale obbligatorio dei componenti delle commissioni giudicatrici</w:t>
      </w:r>
      <w:r w:rsidRPr="00C24F90">
        <w:rPr>
          <w:rStyle w:val="NormalePCM"/>
          <w:rFonts w:ascii="Times New Roman" w:hAnsi="Times New Roman"/>
          <w:sz w:val="24"/>
        </w:rPr>
        <w:t>”, la valutazione delle offerte dal punto di vista tecnico ed economico verrà affidata ad una commissione giudicatrice, composta da n. 3 commissari interni,  appositamente costituita nel rispetto dei principi di rotazione.</w:t>
      </w:r>
    </w:p>
    <w:p w:rsidR="00E4484F" w:rsidRPr="00C24F90" w:rsidRDefault="00E4484F" w:rsidP="00C24F90">
      <w:pPr>
        <w:autoSpaceDE w:val="0"/>
        <w:autoSpaceDN w:val="0"/>
        <w:adjustRightInd w:val="0"/>
        <w:ind w:firstLine="426"/>
        <w:jc w:val="both"/>
        <w:rPr>
          <w:rStyle w:val="NormalePCM"/>
          <w:rFonts w:ascii="Times New Roman" w:hAnsi="Times New Roman"/>
          <w:sz w:val="24"/>
        </w:rPr>
      </w:pPr>
      <w:r w:rsidRPr="00C24F90">
        <w:rPr>
          <w:rStyle w:val="NormalePCM"/>
          <w:rFonts w:ascii="Times New Roman" w:hAnsi="Times New Roman"/>
          <w:sz w:val="24"/>
        </w:rPr>
        <w:t xml:space="preserve">Il Presidente della commissione verrà scelto tra il personale dirigenziale o tra i funzionari </w:t>
      </w:r>
      <w:r w:rsidR="003D2624" w:rsidRPr="00C24F90">
        <w:rPr>
          <w:rStyle w:val="NormalePCM"/>
          <w:rFonts w:ascii="Times New Roman" w:hAnsi="Times New Roman"/>
          <w:sz w:val="24"/>
        </w:rPr>
        <w:t xml:space="preserve">apicali di ruolo </w:t>
      </w:r>
      <w:r w:rsidRPr="00C24F90">
        <w:rPr>
          <w:rStyle w:val="NormalePCM"/>
          <w:rFonts w:ascii="Times New Roman" w:hAnsi="Times New Roman"/>
          <w:sz w:val="24"/>
        </w:rPr>
        <w:t>in servizio presso l’Amministrazione</w:t>
      </w:r>
      <w:r w:rsidR="003D2624" w:rsidRPr="00C24F90">
        <w:rPr>
          <w:rStyle w:val="NormalePCM"/>
          <w:rFonts w:ascii="Times New Roman" w:hAnsi="Times New Roman"/>
          <w:sz w:val="24"/>
        </w:rPr>
        <w:t>.</w:t>
      </w:r>
      <w:r w:rsidRPr="00C24F90">
        <w:rPr>
          <w:rStyle w:val="NormalePCM"/>
          <w:rFonts w:ascii="Times New Roman" w:hAnsi="Times New Roman"/>
          <w:sz w:val="24"/>
        </w:rPr>
        <w:t xml:space="preserve"> </w:t>
      </w:r>
    </w:p>
    <w:p w:rsidR="00E4484F" w:rsidRPr="00C24F90" w:rsidRDefault="00E4484F" w:rsidP="00C24F90">
      <w:pPr>
        <w:autoSpaceDE w:val="0"/>
        <w:autoSpaceDN w:val="0"/>
        <w:adjustRightInd w:val="0"/>
        <w:ind w:firstLine="426"/>
        <w:jc w:val="both"/>
        <w:rPr>
          <w:rStyle w:val="NormalePCM"/>
          <w:rFonts w:ascii="Times New Roman" w:hAnsi="Times New Roman"/>
          <w:sz w:val="24"/>
        </w:rPr>
      </w:pPr>
      <w:r w:rsidRPr="00C24F90">
        <w:rPr>
          <w:rStyle w:val="NormalePCM"/>
          <w:rFonts w:ascii="Times New Roman" w:hAnsi="Times New Roman"/>
          <w:sz w:val="24"/>
        </w:rPr>
        <w:t>La Commissione suddetta, in armonia con le disposizioni contenute con la vigente normativa in materia di appalti e nei documenti di gara, valuterà</w:t>
      </w:r>
      <w:r w:rsidR="00BE3011" w:rsidRPr="00C24F90">
        <w:rPr>
          <w:rStyle w:val="NormalePCM"/>
          <w:rFonts w:ascii="Times New Roman" w:hAnsi="Times New Roman"/>
          <w:sz w:val="24"/>
        </w:rPr>
        <w:t>,</w:t>
      </w:r>
      <w:r w:rsidRPr="00C24F90">
        <w:rPr>
          <w:rStyle w:val="NormalePCM"/>
          <w:rFonts w:ascii="Times New Roman" w:hAnsi="Times New Roman"/>
          <w:sz w:val="24"/>
        </w:rPr>
        <w:t xml:space="preserve"> </w:t>
      </w:r>
      <w:r w:rsidR="00BE3011" w:rsidRPr="00C24F90">
        <w:rPr>
          <w:rStyle w:val="NormalePCM"/>
          <w:rFonts w:ascii="Times New Roman" w:hAnsi="Times New Roman"/>
          <w:sz w:val="24"/>
        </w:rPr>
        <w:t xml:space="preserve"> per ogni lotto,  </w:t>
      </w:r>
      <w:r w:rsidRPr="00C24F90">
        <w:rPr>
          <w:rStyle w:val="NormalePCM"/>
          <w:rFonts w:ascii="Times New Roman" w:hAnsi="Times New Roman"/>
          <w:sz w:val="24"/>
        </w:rPr>
        <w:t>tutta la documentazione tecnica ed economica inviata dai concorrenti</w:t>
      </w:r>
      <w:r w:rsidR="00931138" w:rsidRPr="00C24F90">
        <w:rPr>
          <w:rStyle w:val="NormalePCM"/>
          <w:rFonts w:ascii="Times New Roman" w:hAnsi="Times New Roman"/>
          <w:sz w:val="24"/>
        </w:rPr>
        <w:t xml:space="preserve"> tramite MEPA</w:t>
      </w:r>
      <w:r w:rsidRPr="00C24F90">
        <w:rPr>
          <w:rStyle w:val="NormalePCM"/>
          <w:rFonts w:ascii="Times New Roman" w:hAnsi="Times New Roman"/>
          <w:sz w:val="24"/>
        </w:rPr>
        <w:t>.  Darà inoltre ausilio al RUP nella valutazione della congruità delle offerte e provvederà a</w:t>
      </w:r>
      <w:r w:rsidR="00F56C2A" w:rsidRPr="00C24F90">
        <w:rPr>
          <w:rStyle w:val="NormalePCM"/>
          <w:rFonts w:ascii="Times New Roman" w:hAnsi="Times New Roman"/>
          <w:sz w:val="24"/>
        </w:rPr>
        <w:t xml:space="preserve"> comunicare al Rup gli esiti dei propri lavori . </w:t>
      </w:r>
    </w:p>
    <w:p w:rsidR="00E4484F" w:rsidRPr="00C24F90" w:rsidRDefault="00E4484F" w:rsidP="00C24F90">
      <w:pPr>
        <w:ind w:firstLine="426"/>
        <w:jc w:val="both"/>
      </w:pPr>
      <w:r w:rsidRPr="00C24F90">
        <w:rPr>
          <w:rStyle w:val="NormalePCM"/>
          <w:rFonts w:ascii="Times New Roman" w:hAnsi="Times New Roman"/>
          <w:sz w:val="24"/>
        </w:rPr>
        <w:t>Tutte le informazioni riguardanti le convocazioni per le sedute pubbliche</w:t>
      </w:r>
      <w:r w:rsidR="00BE3011" w:rsidRPr="00C24F90">
        <w:rPr>
          <w:rStyle w:val="NormalePCM"/>
          <w:rFonts w:ascii="Times New Roman" w:hAnsi="Times New Roman"/>
          <w:sz w:val="24"/>
        </w:rPr>
        <w:t xml:space="preserve"> di ogni lotto </w:t>
      </w:r>
      <w:r w:rsidRPr="00C24F90">
        <w:rPr>
          <w:rStyle w:val="NormalePCM"/>
          <w:rFonts w:ascii="Times New Roman" w:hAnsi="Times New Roman"/>
          <w:sz w:val="24"/>
        </w:rPr>
        <w:t xml:space="preserve"> saranno tempestivamente comunicate tramite MEPA.  </w:t>
      </w:r>
    </w:p>
    <w:p w:rsidR="00DB028E" w:rsidRPr="00C24F90" w:rsidRDefault="00DB028E" w:rsidP="00C24F90">
      <w:pPr>
        <w:ind w:firstLine="426"/>
        <w:jc w:val="both"/>
        <w:rPr>
          <w:rStyle w:val="NormalePCM"/>
          <w:rFonts w:ascii="Times New Roman" w:hAnsi="Times New Roman"/>
          <w:sz w:val="24"/>
          <w:u w:val="single"/>
        </w:rPr>
      </w:pPr>
    </w:p>
    <w:p w:rsidR="00E4484F" w:rsidRPr="00C24F90" w:rsidRDefault="00E4484F" w:rsidP="00C24F90">
      <w:pPr>
        <w:ind w:firstLine="426"/>
        <w:jc w:val="both"/>
        <w:rPr>
          <w:rStyle w:val="NormalePCM"/>
          <w:rFonts w:ascii="Times New Roman" w:hAnsi="Times New Roman"/>
          <w:sz w:val="24"/>
        </w:rPr>
      </w:pPr>
      <w:r w:rsidRPr="00C24F90">
        <w:rPr>
          <w:rStyle w:val="NormalePCM"/>
          <w:rFonts w:ascii="Times New Roman" w:hAnsi="Times New Roman"/>
          <w:sz w:val="24"/>
          <w:u w:val="single"/>
        </w:rPr>
        <w:t>La pubblicazione</w:t>
      </w:r>
      <w:r w:rsidR="00931138" w:rsidRPr="00C24F90">
        <w:rPr>
          <w:rStyle w:val="NormalePCM"/>
          <w:rFonts w:ascii="Times New Roman" w:hAnsi="Times New Roman"/>
          <w:sz w:val="24"/>
          <w:u w:val="single"/>
        </w:rPr>
        <w:t xml:space="preserve"> sul MEPA</w:t>
      </w:r>
      <w:r w:rsidRPr="00C24F90">
        <w:rPr>
          <w:rStyle w:val="NormalePCM"/>
          <w:rFonts w:ascii="Times New Roman" w:hAnsi="Times New Roman"/>
          <w:sz w:val="24"/>
          <w:u w:val="single"/>
        </w:rPr>
        <w:t xml:space="preserve"> delle predette informazioni avrà valore di notifica agli effetti di legge</w:t>
      </w:r>
      <w:r w:rsidRPr="00C24F90">
        <w:rPr>
          <w:rStyle w:val="NormalePCM"/>
          <w:rFonts w:ascii="Times New Roman" w:hAnsi="Times New Roman"/>
          <w:sz w:val="24"/>
        </w:rPr>
        <w:t>.</w:t>
      </w:r>
    </w:p>
    <w:p w:rsidR="00BC4BF1" w:rsidRPr="00C24F90" w:rsidRDefault="00BC4BF1" w:rsidP="00C24F90">
      <w:pPr>
        <w:ind w:right="-82" w:firstLine="426"/>
        <w:jc w:val="both"/>
      </w:pPr>
    </w:p>
    <w:p w:rsidR="002D7436" w:rsidRPr="00C24F90" w:rsidRDefault="002D7436" w:rsidP="00C24F90">
      <w:pPr>
        <w:ind w:firstLine="426"/>
        <w:jc w:val="both"/>
        <w:rPr>
          <w:rStyle w:val="NormalePCM"/>
          <w:rFonts w:ascii="Times New Roman" w:hAnsi="Times New Roman"/>
          <w:sz w:val="24"/>
        </w:rPr>
      </w:pPr>
      <w:r w:rsidRPr="00C24F90">
        <w:rPr>
          <w:rStyle w:val="NormalePCM"/>
          <w:rFonts w:ascii="Times New Roman" w:hAnsi="Times New Roman"/>
          <w:sz w:val="24"/>
        </w:rPr>
        <w:t xml:space="preserve">Al termine dei propri lavori, la Commissione giudicatrice provvederà a stilare la graduatoria provvisoria </w:t>
      </w:r>
      <w:r w:rsidR="00BE3011" w:rsidRPr="00C24F90">
        <w:rPr>
          <w:rStyle w:val="NormalePCM"/>
          <w:rFonts w:ascii="Times New Roman" w:hAnsi="Times New Roman"/>
          <w:sz w:val="24"/>
        </w:rPr>
        <w:t xml:space="preserve">per ciascun lotto </w:t>
      </w:r>
      <w:r w:rsidRPr="00C24F90">
        <w:rPr>
          <w:rStyle w:val="NormalePCM"/>
          <w:rFonts w:ascii="Times New Roman" w:hAnsi="Times New Roman"/>
          <w:sz w:val="24"/>
        </w:rPr>
        <w:t xml:space="preserve">e a trasmetterla al RUP. </w:t>
      </w:r>
    </w:p>
    <w:p w:rsidR="002D7436" w:rsidRPr="00C24F90" w:rsidRDefault="002D7436" w:rsidP="00C24F90">
      <w:pPr>
        <w:ind w:firstLine="426"/>
        <w:jc w:val="both"/>
        <w:rPr>
          <w:rStyle w:val="NormalePCM"/>
          <w:rFonts w:ascii="Times New Roman" w:hAnsi="Times New Roman"/>
          <w:sz w:val="24"/>
        </w:rPr>
      </w:pPr>
      <w:r w:rsidRPr="00C24F90">
        <w:rPr>
          <w:rStyle w:val="NormalePCM"/>
          <w:rFonts w:ascii="Times New Roman" w:hAnsi="Times New Roman"/>
          <w:sz w:val="24"/>
        </w:rPr>
        <w:t>In seguito il RUP provvederà a formulare la proposta di aggiudicazione</w:t>
      </w:r>
      <w:r w:rsidR="00BE3011" w:rsidRPr="00C24F90">
        <w:rPr>
          <w:rStyle w:val="NormalePCM"/>
          <w:rFonts w:ascii="Times New Roman" w:hAnsi="Times New Roman"/>
          <w:sz w:val="24"/>
        </w:rPr>
        <w:t xml:space="preserve"> di ogni lotto </w:t>
      </w:r>
      <w:r w:rsidRPr="00C24F90">
        <w:rPr>
          <w:rStyle w:val="NormalePCM"/>
          <w:rFonts w:ascii="Times New Roman" w:hAnsi="Times New Roman"/>
          <w:sz w:val="24"/>
        </w:rPr>
        <w:t xml:space="preserve"> dell’appalto in oggetto a favore del miglior offerente e a trasmetterla all’Amministrazione procedente.</w:t>
      </w:r>
    </w:p>
    <w:p w:rsidR="002D7436" w:rsidRPr="00C24F90" w:rsidRDefault="002D7436" w:rsidP="00C24F90">
      <w:pPr>
        <w:ind w:firstLine="426"/>
        <w:jc w:val="both"/>
        <w:rPr>
          <w:rStyle w:val="NormalePCM"/>
          <w:rFonts w:ascii="Times New Roman" w:hAnsi="Times New Roman"/>
          <w:sz w:val="24"/>
        </w:rPr>
      </w:pPr>
      <w:r w:rsidRPr="00C24F90">
        <w:rPr>
          <w:rStyle w:val="NormalePCM"/>
          <w:rFonts w:ascii="Times New Roman" w:hAnsi="Times New Roman"/>
          <w:sz w:val="24"/>
        </w:rPr>
        <w:t>Ai sensi dell’art. 32, comma 5, del Codice</w:t>
      </w:r>
      <w:r w:rsidR="003D2624" w:rsidRPr="00C24F90">
        <w:rPr>
          <w:rStyle w:val="NormalePCM"/>
          <w:rFonts w:ascii="Times New Roman" w:hAnsi="Times New Roman"/>
          <w:sz w:val="24"/>
        </w:rPr>
        <w:t xml:space="preserve"> dei contratti pubblici </w:t>
      </w:r>
      <w:r w:rsidRPr="00C24F90">
        <w:rPr>
          <w:rStyle w:val="NormalePCM"/>
          <w:rFonts w:ascii="Times New Roman" w:hAnsi="Times New Roman"/>
          <w:sz w:val="24"/>
        </w:rPr>
        <w:t xml:space="preserve">, la Stazione appaltante, previa verifica della proposta di aggiudicazione in precedenza formulata </w:t>
      </w:r>
      <w:r w:rsidR="00F56C2A" w:rsidRPr="00C24F90">
        <w:rPr>
          <w:rStyle w:val="NormalePCM"/>
          <w:rFonts w:ascii="Times New Roman" w:hAnsi="Times New Roman"/>
          <w:sz w:val="24"/>
        </w:rPr>
        <w:t xml:space="preserve">dal </w:t>
      </w:r>
      <w:r w:rsidRPr="00C24F90">
        <w:rPr>
          <w:rStyle w:val="NormalePCM"/>
          <w:rFonts w:ascii="Times New Roman" w:hAnsi="Times New Roman"/>
          <w:sz w:val="24"/>
        </w:rPr>
        <w:t>RUP, provvederà all’aggiudicazione</w:t>
      </w:r>
      <w:r w:rsidR="00BE3011" w:rsidRPr="00C24F90">
        <w:rPr>
          <w:rStyle w:val="NormalePCM"/>
          <w:rFonts w:ascii="Times New Roman" w:hAnsi="Times New Roman"/>
          <w:sz w:val="24"/>
        </w:rPr>
        <w:t xml:space="preserve"> dei due lotti di gara</w:t>
      </w:r>
      <w:r w:rsidRPr="00C24F90">
        <w:rPr>
          <w:rStyle w:val="NormalePCM"/>
          <w:rFonts w:ascii="Times New Roman" w:hAnsi="Times New Roman"/>
          <w:sz w:val="24"/>
        </w:rPr>
        <w:t xml:space="preserve">. </w:t>
      </w:r>
    </w:p>
    <w:p w:rsidR="002D7436" w:rsidRPr="00C24F90" w:rsidRDefault="002D7436" w:rsidP="00C24F90">
      <w:pPr>
        <w:ind w:firstLine="426"/>
        <w:jc w:val="both"/>
        <w:rPr>
          <w:rStyle w:val="NormalePCM"/>
          <w:rFonts w:ascii="Times New Roman" w:hAnsi="Times New Roman"/>
          <w:sz w:val="24"/>
        </w:rPr>
      </w:pPr>
      <w:r w:rsidRPr="00C24F90">
        <w:rPr>
          <w:rStyle w:val="NormalePCM"/>
          <w:rFonts w:ascii="Times New Roman" w:hAnsi="Times New Roman"/>
          <w:sz w:val="24"/>
        </w:rPr>
        <w:t>L’Amministrazione, ai sensi dell’art. 98 del Codice</w:t>
      </w:r>
      <w:r w:rsidR="003D2624" w:rsidRPr="00C24F90">
        <w:rPr>
          <w:rStyle w:val="NormalePCM"/>
          <w:rFonts w:ascii="Times New Roman" w:hAnsi="Times New Roman"/>
          <w:sz w:val="24"/>
        </w:rPr>
        <w:t xml:space="preserve"> dei contratti pubblici</w:t>
      </w:r>
      <w:r w:rsidRPr="00C24F90">
        <w:rPr>
          <w:rStyle w:val="NormalePCM"/>
          <w:rFonts w:ascii="Times New Roman" w:hAnsi="Times New Roman"/>
          <w:sz w:val="24"/>
        </w:rPr>
        <w:t xml:space="preserve">, provvederà a comunicare ai concorrenti l’esito dell’aggiudicazione dell’appalto e dei conseguenti atti di gara. </w:t>
      </w:r>
    </w:p>
    <w:p w:rsidR="00166C54" w:rsidRPr="00C24F90" w:rsidRDefault="00166C54" w:rsidP="00C24F90">
      <w:pPr>
        <w:autoSpaceDE w:val="0"/>
        <w:autoSpaceDN w:val="0"/>
        <w:adjustRightInd w:val="0"/>
        <w:ind w:firstLine="426"/>
        <w:jc w:val="both"/>
        <w:rPr>
          <w:rStyle w:val="NormalePCM"/>
          <w:rFonts w:ascii="Times New Roman" w:hAnsi="Times New Roman"/>
          <w:sz w:val="24"/>
        </w:rPr>
      </w:pPr>
      <w:r w:rsidRPr="00C24F90">
        <w:t>Prima della stipula del contratto,</w:t>
      </w:r>
      <w:r w:rsidR="009A7B8C" w:rsidRPr="00C24F90">
        <w:t xml:space="preserve"> che avrà durata di un anno</w:t>
      </w:r>
      <w:r w:rsidR="00C83689">
        <w:t xml:space="preserve"> decorrente dall’avvio del servizio </w:t>
      </w:r>
      <w:r w:rsidR="009A7B8C" w:rsidRPr="00C24F90">
        <w:t>,</w:t>
      </w:r>
      <w:r w:rsidR="00C83689">
        <w:t xml:space="preserve"> </w:t>
      </w:r>
      <w:r w:rsidRPr="00C24F90">
        <w:t>l’aggiudicataria dovrà obbligatoriamente presentare la garanzia fideiussoria.</w:t>
      </w:r>
    </w:p>
    <w:p w:rsidR="00166C54" w:rsidRPr="00C24F90" w:rsidRDefault="00166C54" w:rsidP="00C24F90">
      <w:pPr>
        <w:autoSpaceDE w:val="0"/>
        <w:autoSpaceDN w:val="0"/>
        <w:adjustRightInd w:val="0"/>
        <w:ind w:firstLine="426"/>
        <w:jc w:val="both"/>
        <w:rPr>
          <w:rStyle w:val="NormalePCM"/>
          <w:rFonts w:ascii="Times New Roman" w:hAnsi="Times New Roman"/>
          <w:sz w:val="24"/>
        </w:rPr>
      </w:pPr>
      <w:r w:rsidRPr="00C24F90">
        <w:rPr>
          <w:rStyle w:val="NormalePCM"/>
          <w:rFonts w:ascii="Times New Roman" w:hAnsi="Times New Roman"/>
          <w:sz w:val="24"/>
        </w:rPr>
        <w:t xml:space="preserve">Ai sensi dell’art. 103, comma </w:t>
      </w:r>
      <w:r w:rsidR="00417B43" w:rsidRPr="00C24F90">
        <w:rPr>
          <w:rStyle w:val="NormalePCM"/>
          <w:rFonts w:ascii="Times New Roman" w:hAnsi="Times New Roman"/>
          <w:sz w:val="24"/>
        </w:rPr>
        <w:t>1</w:t>
      </w:r>
      <w:r w:rsidRPr="00C24F90">
        <w:rPr>
          <w:rStyle w:val="NormalePCM"/>
          <w:rFonts w:ascii="Times New Roman" w:hAnsi="Times New Roman"/>
          <w:sz w:val="24"/>
        </w:rPr>
        <w:t>, del Codice</w:t>
      </w:r>
      <w:r w:rsidR="003D2624" w:rsidRPr="00C24F90">
        <w:rPr>
          <w:rStyle w:val="NormalePCM"/>
          <w:rFonts w:ascii="Times New Roman" w:hAnsi="Times New Roman"/>
          <w:sz w:val="24"/>
        </w:rPr>
        <w:t xml:space="preserve"> dei contratti pubblici </w:t>
      </w:r>
      <w:r w:rsidRPr="00C24F90">
        <w:rPr>
          <w:rStyle w:val="NormalePCM"/>
          <w:rFonts w:ascii="Times New Roman" w:hAnsi="Times New Roman"/>
          <w:sz w:val="24"/>
        </w:rPr>
        <w:t xml:space="preserve">, la società aggiudicataria, in qualità di esecutore del contratto, è infatti tenuta a prestare garanzia nella misura del 10% (dieci per cento) del corrispettivo contrattuale, IVA esclusa, ovvero </w:t>
      </w:r>
      <w:r w:rsidR="00C83689">
        <w:rPr>
          <w:rStyle w:val="NormalePCM"/>
          <w:rFonts w:ascii="Times New Roman" w:hAnsi="Times New Roman"/>
          <w:sz w:val="24"/>
        </w:rPr>
        <w:t>n</w:t>
      </w:r>
      <w:r w:rsidRPr="00C24F90">
        <w:rPr>
          <w:rStyle w:val="NormalePCM"/>
          <w:rFonts w:ascii="Times New Roman" w:hAnsi="Times New Roman"/>
          <w:sz w:val="24"/>
        </w:rPr>
        <w:t xml:space="preserve">elle </w:t>
      </w:r>
      <w:r w:rsidR="00C83689">
        <w:rPr>
          <w:rStyle w:val="NormalePCM"/>
          <w:rFonts w:ascii="Times New Roman" w:hAnsi="Times New Roman"/>
          <w:sz w:val="24"/>
        </w:rPr>
        <w:t xml:space="preserve">diverse misure </w:t>
      </w:r>
      <w:r w:rsidRPr="00C24F90">
        <w:rPr>
          <w:rStyle w:val="NormalePCM"/>
          <w:rFonts w:ascii="Times New Roman" w:hAnsi="Times New Roman"/>
          <w:sz w:val="24"/>
        </w:rPr>
        <w:t xml:space="preserve">indicate </w:t>
      </w:r>
      <w:r w:rsidR="00417B43" w:rsidRPr="00C24F90">
        <w:rPr>
          <w:rStyle w:val="NormalePCM"/>
          <w:rFonts w:ascii="Times New Roman" w:hAnsi="Times New Roman"/>
          <w:sz w:val="24"/>
        </w:rPr>
        <w:t xml:space="preserve">nel medesimo art. 103; </w:t>
      </w:r>
      <w:r w:rsidR="006C6B3E" w:rsidRPr="00C24F90">
        <w:rPr>
          <w:rStyle w:val="NormalePCM"/>
          <w:rFonts w:ascii="Times New Roman" w:hAnsi="Times New Roman"/>
          <w:sz w:val="24"/>
        </w:rPr>
        <w:t xml:space="preserve">detta garanzia è </w:t>
      </w:r>
      <w:r w:rsidR="003D2624" w:rsidRPr="00C24F90">
        <w:rPr>
          <w:rStyle w:val="NormalePCM"/>
          <w:rFonts w:ascii="Times New Roman" w:hAnsi="Times New Roman"/>
          <w:sz w:val="24"/>
        </w:rPr>
        <w:t xml:space="preserve"> ridott</w:t>
      </w:r>
      <w:r w:rsidR="006C6B3E" w:rsidRPr="00C24F90">
        <w:rPr>
          <w:rStyle w:val="NormalePCM"/>
          <w:rFonts w:ascii="Times New Roman" w:hAnsi="Times New Roman"/>
          <w:sz w:val="24"/>
        </w:rPr>
        <w:t>a</w:t>
      </w:r>
      <w:r w:rsidR="00D96248" w:rsidRPr="00C24F90">
        <w:rPr>
          <w:rStyle w:val="NormalePCM"/>
          <w:rFonts w:ascii="Times New Roman" w:hAnsi="Times New Roman"/>
          <w:sz w:val="24"/>
        </w:rPr>
        <w:t>,</w:t>
      </w:r>
      <w:r w:rsidR="003D2624" w:rsidRPr="00C24F90">
        <w:rPr>
          <w:rStyle w:val="NormalePCM"/>
          <w:rFonts w:ascii="Times New Roman" w:hAnsi="Times New Roman"/>
          <w:sz w:val="24"/>
        </w:rPr>
        <w:t xml:space="preserve"> </w:t>
      </w:r>
      <w:r w:rsidR="00417B43" w:rsidRPr="00C24F90">
        <w:rPr>
          <w:rStyle w:val="NormalePCM"/>
          <w:rFonts w:ascii="Times New Roman" w:hAnsi="Times New Roman"/>
          <w:sz w:val="24"/>
        </w:rPr>
        <w:t xml:space="preserve">nei casi di cui all’ art.93 c.7 del D.lgs 50/2016 Codice dei contratti pubblici </w:t>
      </w:r>
      <w:r w:rsidR="00F56C2A" w:rsidRPr="00C24F90">
        <w:rPr>
          <w:rStyle w:val="NormalePCM"/>
          <w:rFonts w:ascii="Times New Roman" w:hAnsi="Times New Roman"/>
          <w:sz w:val="24"/>
        </w:rPr>
        <w:t>.</w:t>
      </w:r>
      <w:r w:rsidRPr="00C24F90">
        <w:rPr>
          <w:rStyle w:val="NormalePCM"/>
          <w:rFonts w:ascii="Times New Roman" w:hAnsi="Times New Roman"/>
          <w:sz w:val="24"/>
        </w:rPr>
        <w:t xml:space="preserve"> </w:t>
      </w:r>
    </w:p>
    <w:p w:rsidR="00166C54" w:rsidRPr="00C24F90" w:rsidRDefault="00166C54" w:rsidP="00C24F90">
      <w:pPr>
        <w:ind w:firstLine="426"/>
        <w:jc w:val="both"/>
        <w:rPr>
          <w:rStyle w:val="NormalePCM"/>
          <w:rFonts w:ascii="Times New Roman" w:hAnsi="Times New Roman"/>
          <w:sz w:val="24"/>
        </w:rPr>
      </w:pPr>
      <w:r w:rsidRPr="00C24F90">
        <w:rPr>
          <w:rStyle w:val="NormalePCM"/>
          <w:rFonts w:ascii="Times New Roman" w:hAnsi="Times New Roman"/>
          <w:sz w:val="24"/>
        </w:rPr>
        <w:t>La</w:t>
      </w:r>
      <w:r w:rsidR="00D96248" w:rsidRPr="00C24F90">
        <w:rPr>
          <w:rStyle w:val="NormalePCM"/>
          <w:rFonts w:ascii="Times New Roman" w:hAnsi="Times New Roman"/>
          <w:sz w:val="24"/>
        </w:rPr>
        <w:t xml:space="preserve"> garanzia </w:t>
      </w:r>
      <w:r w:rsidRPr="00C24F90">
        <w:rPr>
          <w:rStyle w:val="NormalePCM"/>
          <w:rFonts w:ascii="Times New Roman" w:hAnsi="Times New Roman"/>
          <w:sz w:val="24"/>
        </w:rPr>
        <w:t xml:space="preserve">, </w:t>
      </w:r>
      <w:r w:rsidR="00F56C2A" w:rsidRPr="00C24F90">
        <w:rPr>
          <w:rStyle w:val="NormalePCM"/>
          <w:rFonts w:ascii="Times New Roman" w:hAnsi="Times New Roman"/>
          <w:sz w:val="24"/>
        </w:rPr>
        <w:t xml:space="preserve">dovrà </w:t>
      </w:r>
      <w:r w:rsidRPr="00C24F90">
        <w:rPr>
          <w:rStyle w:val="NormalePCM"/>
          <w:rFonts w:ascii="Times New Roman" w:hAnsi="Times New Roman"/>
          <w:sz w:val="24"/>
        </w:rPr>
        <w:t>prevedere:</w:t>
      </w:r>
    </w:p>
    <w:p w:rsidR="00166C54" w:rsidRPr="00C24F90" w:rsidRDefault="00166C54" w:rsidP="00C24F90">
      <w:pPr>
        <w:numPr>
          <w:ilvl w:val="0"/>
          <w:numId w:val="5"/>
        </w:numPr>
        <w:ind w:left="0" w:firstLine="426"/>
        <w:jc w:val="both"/>
        <w:rPr>
          <w:rStyle w:val="NormalePCM"/>
          <w:rFonts w:ascii="Times New Roman" w:hAnsi="Times New Roman"/>
          <w:sz w:val="24"/>
        </w:rPr>
      </w:pPr>
      <w:r w:rsidRPr="00C24F90">
        <w:rPr>
          <w:rStyle w:val="NormalePCM"/>
          <w:rFonts w:ascii="Times New Roman" w:hAnsi="Times New Roman"/>
          <w:sz w:val="24"/>
        </w:rPr>
        <w:lastRenderedPageBreak/>
        <w:t>la rinuncia espressa al beneficio della preventiva escussione del debitore principale;</w:t>
      </w:r>
    </w:p>
    <w:p w:rsidR="00166C54" w:rsidRPr="00C24F90" w:rsidRDefault="00166C54" w:rsidP="00C24F90">
      <w:pPr>
        <w:numPr>
          <w:ilvl w:val="0"/>
          <w:numId w:val="5"/>
        </w:numPr>
        <w:ind w:left="0" w:firstLine="426"/>
        <w:jc w:val="both"/>
        <w:rPr>
          <w:rStyle w:val="NormalePCM"/>
          <w:rFonts w:ascii="Times New Roman" w:hAnsi="Times New Roman"/>
          <w:sz w:val="24"/>
        </w:rPr>
      </w:pPr>
      <w:r w:rsidRPr="00C24F90">
        <w:rPr>
          <w:rStyle w:val="NormalePCM"/>
          <w:rFonts w:ascii="Times New Roman" w:hAnsi="Times New Roman"/>
          <w:sz w:val="24"/>
        </w:rPr>
        <w:t>la rinuncia espressa all’eccezione di cui all’articolo 1957, comma 2, del codice civile;</w:t>
      </w:r>
    </w:p>
    <w:p w:rsidR="00166C54" w:rsidRPr="00C24F90" w:rsidRDefault="00166C54" w:rsidP="00C24F90">
      <w:pPr>
        <w:numPr>
          <w:ilvl w:val="0"/>
          <w:numId w:val="5"/>
        </w:numPr>
        <w:ind w:left="0" w:firstLine="426"/>
        <w:jc w:val="both"/>
        <w:rPr>
          <w:rStyle w:val="NormalePCM"/>
          <w:rFonts w:ascii="Times New Roman" w:hAnsi="Times New Roman"/>
          <w:sz w:val="24"/>
        </w:rPr>
      </w:pPr>
      <w:r w:rsidRPr="00C24F90">
        <w:rPr>
          <w:rStyle w:val="NormalePCM"/>
          <w:rFonts w:ascii="Times New Roman" w:hAnsi="Times New Roman"/>
          <w:sz w:val="24"/>
        </w:rPr>
        <w:t>la sua operatività entro quindici giorni su richiesta scritta della Amministrazione appaltante.</w:t>
      </w:r>
    </w:p>
    <w:p w:rsidR="00166C54" w:rsidRPr="00C24F90" w:rsidRDefault="00166C54" w:rsidP="00C24F90">
      <w:pPr>
        <w:ind w:firstLine="426"/>
        <w:jc w:val="both"/>
        <w:rPr>
          <w:rStyle w:val="NormalePCM"/>
          <w:rFonts w:ascii="Times New Roman" w:hAnsi="Times New Roman"/>
          <w:sz w:val="24"/>
        </w:rPr>
      </w:pPr>
      <w:r w:rsidRPr="00C24F90">
        <w:rPr>
          <w:rStyle w:val="NormalePCM"/>
          <w:rFonts w:ascii="Times New Roman" w:hAnsi="Times New Roman"/>
          <w:sz w:val="24"/>
        </w:rPr>
        <w:t>Ai sensi del comma 3 dell’art 103 citato, la mancata costituzione della garanzia determina la decadenza dell'affidamento, e la conseguente aggiudicazione dell'appalto al Concorrente che segue nella graduatoria.</w:t>
      </w:r>
    </w:p>
    <w:p w:rsidR="00166C54" w:rsidRPr="00C24F90" w:rsidRDefault="00166C54" w:rsidP="00C24F90">
      <w:pPr>
        <w:ind w:firstLine="426"/>
        <w:jc w:val="both"/>
        <w:rPr>
          <w:rStyle w:val="NormalePCM"/>
          <w:rFonts w:ascii="Times New Roman" w:hAnsi="Times New Roman"/>
          <w:sz w:val="24"/>
        </w:rPr>
      </w:pPr>
      <w:r w:rsidRPr="00C24F90">
        <w:rPr>
          <w:rStyle w:val="NormalePCM"/>
          <w:rFonts w:ascii="Times New Roman" w:hAnsi="Times New Roman"/>
          <w:sz w:val="24"/>
        </w:rPr>
        <w:t>La garanzia, a seguito di richiesta alla stazione appaltante, sarà svincolata a seguito della piena ed esatta esecuzione del contratto.</w:t>
      </w:r>
    </w:p>
    <w:p w:rsidR="00166C54" w:rsidRPr="00C24F90" w:rsidRDefault="00166C54" w:rsidP="00C24F90">
      <w:pPr>
        <w:autoSpaceDE w:val="0"/>
        <w:autoSpaceDN w:val="0"/>
        <w:adjustRightInd w:val="0"/>
        <w:ind w:firstLine="426"/>
        <w:jc w:val="both"/>
      </w:pPr>
      <w:r w:rsidRPr="00C24F90">
        <w:t xml:space="preserve">Il contratto verrà stipulato in forma elettronica tramite MEPA ai sensi </w:t>
      </w:r>
      <w:r w:rsidRPr="00C24F90">
        <w:rPr>
          <w:rStyle w:val="NormalePCM"/>
          <w:rFonts w:ascii="Times New Roman" w:hAnsi="Times New Roman"/>
          <w:sz w:val="24"/>
        </w:rPr>
        <w:t>dell’art. 32, comma 14, del</w:t>
      </w:r>
      <w:r w:rsidR="00D96248" w:rsidRPr="00C24F90">
        <w:rPr>
          <w:rStyle w:val="NormalePCM"/>
          <w:rFonts w:ascii="Times New Roman" w:hAnsi="Times New Roman"/>
          <w:sz w:val="24"/>
        </w:rPr>
        <w:t xml:space="preserve"> Codice dei contratti pubblici</w:t>
      </w:r>
      <w:r w:rsidRPr="00C24F90">
        <w:rPr>
          <w:rStyle w:val="NormalePCM"/>
          <w:rFonts w:ascii="Times New Roman" w:hAnsi="Times New Roman"/>
          <w:sz w:val="24"/>
        </w:rPr>
        <w:t xml:space="preserve"> </w:t>
      </w:r>
    </w:p>
    <w:p w:rsidR="00416A81" w:rsidRPr="00C24F90" w:rsidRDefault="00ED0F45" w:rsidP="00C24F90">
      <w:pPr>
        <w:ind w:right="-82" w:firstLine="426"/>
        <w:jc w:val="both"/>
        <w:rPr>
          <w:color w:val="000000"/>
        </w:rPr>
      </w:pPr>
      <w:r w:rsidRPr="00C24F90">
        <w:t>L’a</w:t>
      </w:r>
      <w:r w:rsidR="005C3937" w:rsidRPr="00C24F90">
        <w:t>ffidataria</w:t>
      </w:r>
      <w:r w:rsidR="004A0109" w:rsidRPr="00C24F90">
        <w:t xml:space="preserve"> </w:t>
      </w:r>
      <w:r w:rsidR="001965C9" w:rsidRPr="00C24F90">
        <w:rPr>
          <w:color w:val="000000"/>
        </w:rPr>
        <w:t xml:space="preserve">è tenuta a ottemperare agli obblighi sulla tracciabilità dei flussi finanziari previsti dall’art. 3 della Legge 13 agosto 2010, n. 136, comunicando allo scrivente gli estremi identificativi del conto corrente dedicato nonché le generalità e il codice fiscale delle persone delegate ad operare su di esso. </w:t>
      </w:r>
    </w:p>
    <w:p w:rsidR="001965C9" w:rsidRPr="00C24F90" w:rsidRDefault="001965C9" w:rsidP="00C24F90">
      <w:pPr>
        <w:ind w:right="-82" w:firstLine="426"/>
        <w:jc w:val="both"/>
        <w:rPr>
          <w:lang w:bidi="he-IL"/>
        </w:rPr>
      </w:pPr>
      <w:r w:rsidRPr="00C24F90">
        <w:rPr>
          <w:color w:val="000000"/>
        </w:rPr>
        <w:t xml:space="preserve">La mancanza della predetta comunicazione, da effettuarsi contestualmente all’accettazione o entro sette giorni dall’eventuale accensione del conto corrente, determina la nullità assoluta </w:t>
      </w:r>
      <w:r w:rsidR="00166C54" w:rsidRPr="00C24F90">
        <w:rPr>
          <w:color w:val="000000"/>
        </w:rPr>
        <w:t>del contratto stipulato</w:t>
      </w:r>
      <w:r w:rsidRPr="00C24F90">
        <w:rPr>
          <w:color w:val="000000"/>
        </w:rPr>
        <w:t>.</w:t>
      </w:r>
      <w:r w:rsidRPr="00C24F90">
        <w:rPr>
          <w:lang w:bidi="he-IL"/>
        </w:rPr>
        <w:t xml:space="preserve"> </w:t>
      </w:r>
      <w:r w:rsidRPr="00C24F90">
        <w:t>L’</w:t>
      </w:r>
      <w:r w:rsidR="005C3937" w:rsidRPr="00C24F90">
        <w:t>affidataria</w:t>
      </w:r>
      <w:r w:rsidRPr="00C24F90">
        <w:rPr>
          <w:color w:val="000000"/>
        </w:rPr>
        <w:t xml:space="preserve"> </w:t>
      </w:r>
      <w:r w:rsidRPr="00C24F90">
        <w:rPr>
          <w:lang w:bidi="he-IL"/>
        </w:rPr>
        <w:t>dovrà provvedere, altresì, a comunicare ogni modifica relativa ai dati trasmessi.</w:t>
      </w:r>
    </w:p>
    <w:p w:rsidR="00542BD3" w:rsidRPr="00C24F90" w:rsidRDefault="0082446D" w:rsidP="00C24F90">
      <w:pPr>
        <w:ind w:firstLine="426"/>
        <w:jc w:val="both"/>
      </w:pPr>
      <w:r w:rsidRPr="00C24F90">
        <w:t>L’a</w:t>
      </w:r>
      <w:r w:rsidR="005C3937" w:rsidRPr="00C24F90">
        <w:t>ffidataria</w:t>
      </w:r>
      <w:r w:rsidRPr="00C24F90">
        <w:rPr>
          <w:color w:val="000000"/>
        </w:rPr>
        <w:t xml:space="preserve"> </w:t>
      </w:r>
      <w:r w:rsidR="00166C54" w:rsidRPr="00C24F90">
        <w:rPr>
          <w:color w:val="000000"/>
        </w:rPr>
        <w:t>è tenuta a dichiarare,</w:t>
      </w:r>
      <w:r w:rsidRPr="00C24F90">
        <w:rPr>
          <w:color w:val="000000"/>
        </w:rPr>
        <w:t xml:space="preserve"> altresì</w:t>
      </w:r>
      <w:r w:rsidR="009108E5" w:rsidRPr="00C24F90">
        <w:rPr>
          <w:color w:val="000000"/>
        </w:rPr>
        <w:t>,</w:t>
      </w:r>
      <w:r w:rsidRPr="00C24F90">
        <w:rPr>
          <w:color w:val="000000"/>
        </w:rPr>
        <w:t xml:space="preserve"> di offrire i</w:t>
      </w:r>
      <w:r w:rsidR="00542BD3" w:rsidRPr="00C24F90">
        <w:rPr>
          <w:color w:val="000000"/>
        </w:rPr>
        <w:t xml:space="preserve"> beni e</w:t>
      </w:r>
      <w:r w:rsidRPr="00C24F90">
        <w:rPr>
          <w:color w:val="000000"/>
        </w:rPr>
        <w:t xml:space="preserve"> </w:t>
      </w:r>
      <w:r w:rsidR="0053659C" w:rsidRPr="00C24F90">
        <w:rPr>
          <w:color w:val="000000"/>
        </w:rPr>
        <w:t>servizi</w:t>
      </w:r>
      <w:r w:rsidR="00AE339D" w:rsidRPr="00C24F90">
        <w:rPr>
          <w:color w:val="000000"/>
        </w:rPr>
        <w:t xml:space="preserve"> così come</w:t>
      </w:r>
      <w:r w:rsidRPr="00C24F90">
        <w:rPr>
          <w:color w:val="000000"/>
        </w:rPr>
        <w:t xml:space="preserve"> indica</w:t>
      </w:r>
      <w:r w:rsidR="00CC4459" w:rsidRPr="00C24F90">
        <w:rPr>
          <w:color w:val="000000"/>
        </w:rPr>
        <w:t>ti</w:t>
      </w:r>
      <w:r w:rsidRPr="00C24F90">
        <w:rPr>
          <w:color w:val="000000"/>
        </w:rPr>
        <w:t xml:space="preserve"> nella richiesta di offerta </w:t>
      </w:r>
      <w:r w:rsidR="005C3937" w:rsidRPr="00C24F90">
        <w:rPr>
          <w:color w:val="000000"/>
        </w:rPr>
        <w:t xml:space="preserve">e nel </w:t>
      </w:r>
      <w:r w:rsidR="00C73F65" w:rsidRPr="00C24F90">
        <w:rPr>
          <w:color w:val="000000"/>
        </w:rPr>
        <w:t xml:space="preserve">Documento </w:t>
      </w:r>
      <w:r w:rsidR="00542BD3" w:rsidRPr="00C24F90">
        <w:rPr>
          <w:color w:val="000000"/>
        </w:rPr>
        <w:t xml:space="preserve">tecnico </w:t>
      </w:r>
      <w:r w:rsidR="007E25AB" w:rsidRPr="00C24F90">
        <w:rPr>
          <w:color w:val="000000"/>
        </w:rPr>
        <w:t>che si inten</w:t>
      </w:r>
      <w:r w:rsidR="00D35A0F" w:rsidRPr="00C24F90">
        <w:rPr>
          <w:color w:val="000000"/>
        </w:rPr>
        <w:t>do</w:t>
      </w:r>
      <w:r w:rsidR="005C3937" w:rsidRPr="00C24F90">
        <w:rPr>
          <w:color w:val="000000"/>
        </w:rPr>
        <w:t>no</w:t>
      </w:r>
      <w:r w:rsidR="00AE339D" w:rsidRPr="00C24F90">
        <w:rPr>
          <w:color w:val="000000"/>
        </w:rPr>
        <w:t xml:space="preserve"> incondizionatamente accettat</w:t>
      </w:r>
      <w:r w:rsidR="005C3937" w:rsidRPr="00C24F90">
        <w:rPr>
          <w:color w:val="000000"/>
        </w:rPr>
        <w:t>i</w:t>
      </w:r>
      <w:r w:rsidR="007E25AB" w:rsidRPr="00C24F90">
        <w:rPr>
          <w:color w:val="000000"/>
        </w:rPr>
        <w:t>.</w:t>
      </w:r>
      <w:r w:rsidR="00542BD3" w:rsidRPr="00C24F90">
        <w:t xml:space="preserve"> </w:t>
      </w:r>
    </w:p>
    <w:p w:rsidR="00542BD3" w:rsidRPr="00C24F90" w:rsidRDefault="00035670" w:rsidP="00C24F90">
      <w:pPr>
        <w:ind w:firstLine="426"/>
        <w:jc w:val="both"/>
      </w:pPr>
      <w:r w:rsidRPr="00C24F90">
        <w:t>Non sarà consentita la cessione a terzi del</w:t>
      </w:r>
      <w:r w:rsidR="00AA0F4E" w:rsidRPr="00C24F90">
        <w:t xml:space="preserve"> contratto </w:t>
      </w:r>
      <w:r w:rsidRPr="00C24F90">
        <w:t>concluso</w:t>
      </w:r>
      <w:r w:rsidR="00A758F3" w:rsidRPr="00C24F90">
        <w:t xml:space="preserve"> ovvero la cessione dei crediti derivanti.</w:t>
      </w:r>
      <w:r w:rsidR="00542BD3" w:rsidRPr="00C24F90">
        <w:t xml:space="preserve"> </w:t>
      </w:r>
    </w:p>
    <w:p w:rsidR="004F6FFB" w:rsidRPr="00C24F90" w:rsidRDefault="006F2F6E" w:rsidP="00C24F90">
      <w:pPr>
        <w:ind w:firstLine="426"/>
        <w:jc w:val="both"/>
      </w:pPr>
      <w:r w:rsidRPr="00C24F90">
        <w:t>In conformità all’art. 32</w:t>
      </w:r>
      <w:r w:rsidR="00542BD3" w:rsidRPr="00C24F90">
        <w:t>, comma 1</w:t>
      </w:r>
      <w:r w:rsidRPr="00C24F90">
        <w:t>3</w:t>
      </w:r>
      <w:r w:rsidR="00542BD3" w:rsidRPr="00C24F90">
        <w:t xml:space="preserve">, del </w:t>
      </w:r>
      <w:r w:rsidRPr="00C24F90">
        <w:t>D.Lgs. 1</w:t>
      </w:r>
      <w:r w:rsidR="00D96248" w:rsidRPr="00C24F90">
        <w:t>8</w:t>
      </w:r>
      <w:r w:rsidRPr="00C24F90">
        <w:t xml:space="preserve"> aprile 2016, n. 50,</w:t>
      </w:r>
      <w:r w:rsidR="00542BD3" w:rsidRPr="00C24F90">
        <w:t xml:space="preserve"> “</w:t>
      </w:r>
      <w:r w:rsidR="00542BD3" w:rsidRPr="00C24F90">
        <w:rPr>
          <w:i/>
        </w:rPr>
        <w:t>l’esecuzione del contratto può avere inizio solo dopo che lo stesso è divenuto efficace</w:t>
      </w:r>
      <w:r w:rsidRPr="00C24F90">
        <w:rPr>
          <w:i/>
        </w:rPr>
        <w:t>, salvo che, in casi di urgenza, la stazione appaltante ne chieda l’esecuzione anticipata.</w:t>
      </w:r>
      <w:r w:rsidR="00542BD3" w:rsidRPr="00C24F90">
        <w:t xml:space="preserve">”, </w:t>
      </w:r>
      <w:r w:rsidRPr="00C24F90">
        <w:t xml:space="preserve">la data di </w:t>
      </w:r>
      <w:r w:rsidR="00542BD3" w:rsidRPr="00C24F90">
        <w:t xml:space="preserve">avvio </w:t>
      </w:r>
      <w:r w:rsidRPr="00C24F90">
        <w:t xml:space="preserve">di esecuzione del contratto sarà comunicata </w:t>
      </w:r>
      <w:r w:rsidR="00542BD3" w:rsidRPr="00C24F90">
        <w:t xml:space="preserve">per iscritto all’indirizzo </w:t>
      </w:r>
      <w:r w:rsidR="00630187" w:rsidRPr="00C24F90">
        <w:rPr>
          <w:i/>
        </w:rPr>
        <w:t xml:space="preserve">PEC </w:t>
      </w:r>
      <w:r w:rsidR="00542BD3" w:rsidRPr="00C24F90">
        <w:t>dell’affidataria</w:t>
      </w:r>
      <w:r w:rsidRPr="00C24F90">
        <w:t xml:space="preserve"> successivamente alla data di stipulazione del contratto</w:t>
      </w:r>
      <w:r w:rsidR="004F6FFB" w:rsidRPr="00C24F90">
        <w:t>.</w:t>
      </w:r>
    </w:p>
    <w:p w:rsidR="00077535" w:rsidRPr="00C24F90" w:rsidRDefault="00A758F3" w:rsidP="00C24F90">
      <w:pPr>
        <w:pStyle w:val="Testonormale"/>
        <w:ind w:right="-119" w:firstLine="426"/>
        <w:jc w:val="both"/>
        <w:rPr>
          <w:rFonts w:ascii="Times New Roman" w:hAnsi="Times New Roman" w:cs="Times New Roman"/>
          <w:b/>
          <w:sz w:val="24"/>
          <w:szCs w:val="24"/>
          <w:lang w:eastAsia="it-IT" w:bidi="he-IL"/>
        </w:rPr>
      </w:pPr>
      <w:r w:rsidRPr="00C24F90">
        <w:rPr>
          <w:rFonts w:ascii="Times New Roman" w:hAnsi="Times New Roman" w:cs="Times New Roman"/>
          <w:sz w:val="24"/>
          <w:szCs w:val="24"/>
        </w:rPr>
        <w:t>I</w:t>
      </w:r>
      <w:r w:rsidR="00416A81" w:rsidRPr="00C24F90">
        <w:rPr>
          <w:rFonts w:ascii="Times New Roman" w:hAnsi="Times New Roman" w:cs="Times New Roman"/>
          <w:sz w:val="24"/>
          <w:szCs w:val="24"/>
        </w:rPr>
        <w:t>n relazione alla natura particolare del contratto, il pagamento avv</w:t>
      </w:r>
      <w:r w:rsidRPr="00C24F90">
        <w:rPr>
          <w:rFonts w:ascii="Times New Roman" w:hAnsi="Times New Roman" w:cs="Times New Roman"/>
          <w:sz w:val="24"/>
          <w:szCs w:val="24"/>
        </w:rPr>
        <w:t>iene</w:t>
      </w:r>
      <w:r w:rsidR="00416A81" w:rsidRPr="00C24F90">
        <w:rPr>
          <w:rFonts w:ascii="Times New Roman" w:hAnsi="Times New Roman" w:cs="Times New Roman"/>
          <w:sz w:val="24"/>
          <w:szCs w:val="24"/>
        </w:rPr>
        <w:t xml:space="preserve"> entro 60 giorni dalla data di ricezione della fattura </w:t>
      </w:r>
      <w:r w:rsidR="006C6B3E" w:rsidRPr="00C24F90">
        <w:rPr>
          <w:rFonts w:ascii="Times New Roman" w:hAnsi="Times New Roman" w:cs="Times New Roman"/>
          <w:sz w:val="24"/>
          <w:szCs w:val="24"/>
        </w:rPr>
        <w:t xml:space="preserve">bimestrale </w:t>
      </w:r>
      <w:r w:rsidR="00416A81" w:rsidRPr="00C24F90">
        <w:rPr>
          <w:rFonts w:ascii="Times New Roman" w:hAnsi="Times New Roman" w:cs="Times New Roman"/>
          <w:sz w:val="24"/>
          <w:szCs w:val="24"/>
        </w:rPr>
        <w:t>posticipata per l’importo complessivo dei corrispettivi pattuiti, previa verifica della regolarità del servizio e dopo lo svolgimento degli accertamenti amministrativi da parte di questa Amministrazione. La fattura dovrà essere completa delle modalità di pagamento, del CIG, nonché del numero di riferimento del contratto.</w:t>
      </w:r>
      <w:r w:rsidR="00416A81" w:rsidRPr="00C24F90">
        <w:rPr>
          <w:rFonts w:ascii="Times New Roman" w:hAnsi="Times New Roman" w:cs="Times New Roman"/>
          <w:sz w:val="24"/>
          <w:szCs w:val="24"/>
          <w:lang w:bidi="he-IL"/>
        </w:rPr>
        <w:t xml:space="preserve"> S</w:t>
      </w:r>
      <w:r w:rsidR="00416A81" w:rsidRPr="00C24F90">
        <w:rPr>
          <w:rFonts w:ascii="Times New Roman" w:hAnsi="Times New Roman" w:cs="Times New Roman"/>
          <w:sz w:val="24"/>
          <w:szCs w:val="24"/>
          <w:lang w:eastAsia="it-IT" w:bidi="he-IL"/>
        </w:rPr>
        <w:t xml:space="preserve">i comunica che, ai sensi dell’art. 3 del Decreto MEF n. 55 del 3 aprile 2013 in materia di fatturazione elettronica, il codice IPA del Servizio gare e acquisti di beni e servizi -  è il seguente: </w:t>
      </w:r>
      <w:r w:rsidR="008F31BD" w:rsidRPr="00C24F90">
        <w:rPr>
          <w:rFonts w:ascii="Times New Roman" w:hAnsi="Times New Roman" w:cs="Times New Roman"/>
          <w:b/>
          <w:sz w:val="24"/>
          <w:szCs w:val="24"/>
          <w:lang w:eastAsia="it-IT" w:bidi="he-IL"/>
        </w:rPr>
        <w:t xml:space="preserve">MS7W35 </w:t>
      </w:r>
    </w:p>
    <w:p w:rsidR="004753A5" w:rsidRPr="00C24F90" w:rsidRDefault="004753A5" w:rsidP="00C24F90">
      <w:pPr>
        <w:ind w:right="-82" w:firstLine="426"/>
        <w:jc w:val="both"/>
        <w:rPr>
          <w:b/>
        </w:rPr>
      </w:pPr>
    </w:p>
    <w:p w:rsidR="004753A5" w:rsidRPr="00C24F90" w:rsidRDefault="004753A5" w:rsidP="00C24F90">
      <w:pPr>
        <w:ind w:right="-82" w:firstLine="426"/>
        <w:jc w:val="both"/>
        <w:rPr>
          <w:b/>
        </w:rPr>
      </w:pPr>
      <w:r w:rsidRPr="00C24F90">
        <w:rPr>
          <w:b/>
        </w:rPr>
        <w:t xml:space="preserve">R.U.P </w:t>
      </w:r>
    </w:p>
    <w:p w:rsidR="004753A5" w:rsidRPr="00C24F90" w:rsidRDefault="004753A5" w:rsidP="00C24F90">
      <w:pPr>
        <w:pStyle w:val="Paragrafoelenco1"/>
        <w:ind w:left="0" w:right="-82" w:firstLine="426"/>
        <w:jc w:val="both"/>
        <w:rPr>
          <w:sz w:val="24"/>
          <w:szCs w:val="24"/>
          <w:lang w:bidi="ar-SA"/>
        </w:rPr>
      </w:pPr>
      <w:r w:rsidRPr="00C24F90">
        <w:rPr>
          <w:sz w:val="24"/>
          <w:szCs w:val="24"/>
          <w:lang w:bidi="ar-SA"/>
        </w:rPr>
        <w:t xml:space="preserve">Ai sensi dell’art.31 del citato decreto legislativo n. 50 del 2016, le funzioni di Responsabile del Procedimento (RUP) sono attribuite all’architetto Fabio Santoro </w:t>
      </w:r>
    </w:p>
    <w:p w:rsidR="004753A5" w:rsidRPr="00C24F90" w:rsidRDefault="004753A5" w:rsidP="00C24F90">
      <w:pPr>
        <w:pStyle w:val="Paragrafoelenco1"/>
        <w:ind w:left="0" w:right="-82" w:firstLine="426"/>
        <w:jc w:val="both"/>
        <w:rPr>
          <w:sz w:val="24"/>
          <w:szCs w:val="24"/>
        </w:rPr>
      </w:pPr>
    </w:p>
    <w:p w:rsidR="004753A5" w:rsidRPr="00C24F90" w:rsidRDefault="004753A5" w:rsidP="00C24F90">
      <w:pPr>
        <w:pStyle w:val="Paragrafoelenco1"/>
        <w:ind w:left="0" w:right="-82" w:firstLine="426"/>
        <w:jc w:val="both"/>
        <w:rPr>
          <w:b/>
          <w:sz w:val="24"/>
          <w:szCs w:val="24"/>
        </w:rPr>
      </w:pPr>
      <w:r w:rsidRPr="00C24F90">
        <w:rPr>
          <w:b/>
          <w:sz w:val="24"/>
          <w:szCs w:val="24"/>
        </w:rPr>
        <w:t xml:space="preserve">RICHIESTA DI INFORMAZIONI E COMUNICAZIONI </w:t>
      </w:r>
    </w:p>
    <w:p w:rsidR="004753A5" w:rsidRPr="00C24F90" w:rsidRDefault="004753A5" w:rsidP="00C24F90">
      <w:pPr>
        <w:pStyle w:val="Paragrafoelenco1"/>
        <w:ind w:left="0" w:right="-82" w:firstLine="426"/>
        <w:jc w:val="both"/>
        <w:rPr>
          <w:b/>
          <w:sz w:val="24"/>
          <w:szCs w:val="24"/>
        </w:rPr>
      </w:pPr>
      <w:r w:rsidRPr="00C24F90">
        <w:rPr>
          <w:b/>
          <w:sz w:val="24"/>
          <w:szCs w:val="24"/>
        </w:rPr>
        <w:t xml:space="preserve"> </w:t>
      </w:r>
    </w:p>
    <w:p w:rsidR="004753A5" w:rsidRPr="00C24F90" w:rsidRDefault="004753A5" w:rsidP="00C24F90">
      <w:pPr>
        <w:pStyle w:val="Paragrafoelenco1"/>
        <w:ind w:left="0" w:right="-82" w:firstLine="426"/>
        <w:jc w:val="both"/>
        <w:rPr>
          <w:sz w:val="24"/>
          <w:szCs w:val="24"/>
        </w:rPr>
      </w:pPr>
      <w:r w:rsidRPr="00C24F90">
        <w:rPr>
          <w:sz w:val="24"/>
          <w:szCs w:val="24"/>
        </w:rPr>
        <w:t>Per eventuali chiarimenti si invitano le Società ad utilizzare il canale di messaggistica sul Mepa.</w:t>
      </w:r>
    </w:p>
    <w:p w:rsidR="004753A5" w:rsidRPr="00C24F90" w:rsidRDefault="004753A5" w:rsidP="00C24F90">
      <w:pPr>
        <w:pStyle w:val="Paragrafoelenco1"/>
        <w:ind w:left="0" w:right="-82" w:firstLine="426"/>
        <w:jc w:val="both"/>
        <w:rPr>
          <w:sz w:val="24"/>
          <w:szCs w:val="24"/>
        </w:rPr>
      </w:pPr>
      <w:r w:rsidRPr="00C24F90">
        <w:rPr>
          <w:sz w:val="24"/>
          <w:szCs w:val="24"/>
        </w:rPr>
        <w:t xml:space="preserve">L’Amministrazione e il Presidente della Commissione giudicatrice utilizzeranno il medesimo canale di messaggistica sul Mepa per tutte le comunicazioni di interesse delle imprese invitate e, dopo la scadenza del termine fissato per la presentazione delle offerte, delle imprese offerenti.  </w:t>
      </w:r>
    </w:p>
    <w:p w:rsidR="004753A5" w:rsidRPr="00C24F90" w:rsidRDefault="004753A5" w:rsidP="00C24F90">
      <w:pPr>
        <w:pStyle w:val="Paragrafoelenco1"/>
        <w:ind w:left="0" w:right="-82" w:firstLine="426"/>
        <w:jc w:val="both"/>
        <w:rPr>
          <w:sz w:val="24"/>
          <w:szCs w:val="24"/>
        </w:rPr>
      </w:pPr>
      <w:r w:rsidRPr="00C24F90">
        <w:rPr>
          <w:sz w:val="24"/>
          <w:szCs w:val="24"/>
        </w:rPr>
        <w:t xml:space="preserve">Ai sensi dell’art. 29 del D.Lgs 50/2016 tutti gli atti di gara relativi alla presente raccolta di offerte saranno pubblicati e aggiornati sul profilo web della stazione appaltante  nella sezione “Amministrazione trasparente” . </w:t>
      </w:r>
    </w:p>
    <w:p w:rsidR="004753A5" w:rsidRPr="00C24F90" w:rsidRDefault="004753A5" w:rsidP="00C24F90">
      <w:pPr>
        <w:pStyle w:val="Testonormale"/>
        <w:ind w:right="-119" w:firstLine="426"/>
        <w:jc w:val="both"/>
        <w:rPr>
          <w:rFonts w:ascii="Times New Roman" w:eastAsiaTheme="minorHAnsi" w:hAnsi="Times New Roman" w:cs="Times New Roman"/>
          <w:b/>
          <w:sz w:val="24"/>
          <w:szCs w:val="24"/>
        </w:rPr>
      </w:pPr>
    </w:p>
    <w:p w:rsidR="00654DF1" w:rsidRPr="00C24F90" w:rsidRDefault="00654DF1" w:rsidP="00C24F90">
      <w:pPr>
        <w:pStyle w:val="Testonormale"/>
        <w:ind w:firstLine="426"/>
        <w:jc w:val="both"/>
        <w:rPr>
          <w:rFonts w:ascii="Times New Roman" w:hAnsi="Times New Roman" w:cs="Times New Roman"/>
          <w:sz w:val="24"/>
          <w:szCs w:val="24"/>
          <w:lang w:eastAsia="it-IT" w:bidi="he-IL"/>
        </w:rPr>
      </w:pPr>
    </w:p>
    <w:sectPr w:rsidR="00654DF1" w:rsidRPr="00C24F90" w:rsidSect="00F32723">
      <w:footerReference w:type="default" r:id="rId9"/>
      <w:pgSz w:w="11906" w:h="16838"/>
      <w:pgMar w:top="1135"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173" w:rsidRDefault="00487173" w:rsidP="00166C54">
      <w:r>
        <w:separator/>
      </w:r>
    </w:p>
  </w:endnote>
  <w:endnote w:type="continuationSeparator" w:id="1">
    <w:p w:rsidR="00487173" w:rsidRDefault="00487173" w:rsidP="00166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MS">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00284"/>
      <w:docPartObj>
        <w:docPartGallery w:val="Page Numbers (Bottom of Page)"/>
        <w:docPartUnique/>
      </w:docPartObj>
    </w:sdtPr>
    <w:sdtContent>
      <w:p w:rsidR="004753A5" w:rsidRDefault="000702C9">
        <w:pPr>
          <w:pStyle w:val="Pidipagina"/>
          <w:jc w:val="right"/>
        </w:pPr>
        <w:r>
          <w:fldChar w:fldCharType="begin"/>
        </w:r>
        <w:r w:rsidR="004753A5">
          <w:instrText>PAGE   \* MERGEFORMAT</w:instrText>
        </w:r>
        <w:r>
          <w:fldChar w:fldCharType="separate"/>
        </w:r>
        <w:r w:rsidR="0092170A">
          <w:rPr>
            <w:noProof/>
          </w:rPr>
          <w:t>6</w:t>
        </w:r>
        <w:r>
          <w:fldChar w:fldCharType="end"/>
        </w:r>
      </w:p>
    </w:sdtContent>
  </w:sdt>
  <w:p w:rsidR="00166C54" w:rsidRDefault="00166C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173" w:rsidRDefault="00487173" w:rsidP="00166C54">
      <w:r>
        <w:separator/>
      </w:r>
    </w:p>
  </w:footnote>
  <w:footnote w:type="continuationSeparator" w:id="1">
    <w:p w:rsidR="00487173" w:rsidRDefault="00487173" w:rsidP="00166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0D"/>
    <w:multiLevelType w:val="hybridMultilevel"/>
    <w:tmpl w:val="F0A0E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016E39"/>
    <w:multiLevelType w:val="hybridMultilevel"/>
    <w:tmpl w:val="8696D20C"/>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
    <w:nsid w:val="0B5037D0"/>
    <w:multiLevelType w:val="hybridMultilevel"/>
    <w:tmpl w:val="5A5042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BC203F"/>
    <w:multiLevelType w:val="hybridMultilevel"/>
    <w:tmpl w:val="1AAA3D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C37612"/>
    <w:multiLevelType w:val="hybridMultilevel"/>
    <w:tmpl w:val="9386E070"/>
    <w:lvl w:ilvl="0" w:tplc="13C006D6">
      <w:start w:val="3"/>
      <w:numFmt w:val="bullet"/>
      <w:lvlText w:val="-"/>
      <w:lvlJc w:val="left"/>
      <w:pPr>
        <w:ind w:left="1068" w:hanging="360"/>
      </w:pPr>
      <w:rPr>
        <w:rFonts w:ascii="Calibri" w:eastAsia="Calibri" w:hAnsi="Calibri" w:cs="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326F1434"/>
    <w:multiLevelType w:val="hybridMultilevel"/>
    <w:tmpl w:val="0C520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EA2FC0"/>
    <w:multiLevelType w:val="hybridMultilevel"/>
    <w:tmpl w:val="E90E5DA4"/>
    <w:lvl w:ilvl="0" w:tplc="FB3A65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1548A5"/>
    <w:multiLevelType w:val="hybridMultilevel"/>
    <w:tmpl w:val="49129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401DA0"/>
    <w:multiLevelType w:val="hybridMultilevel"/>
    <w:tmpl w:val="83E6B7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33F1B2E"/>
    <w:multiLevelType w:val="hybridMultilevel"/>
    <w:tmpl w:val="AF8C0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5F4D47"/>
    <w:multiLevelType w:val="hybridMultilevel"/>
    <w:tmpl w:val="4C28F632"/>
    <w:lvl w:ilvl="0" w:tplc="5310E1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CD617C5"/>
    <w:multiLevelType w:val="hybridMultilevel"/>
    <w:tmpl w:val="E90E5DA4"/>
    <w:lvl w:ilvl="0" w:tplc="FB3A65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3317003"/>
    <w:multiLevelType w:val="hybridMultilevel"/>
    <w:tmpl w:val="00365E9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39E44B6"/>
    <w:multiLevelType w:val="hybridMultilevel"/>
    <w:tmpl w:val="E90E5DA4"/>
    <w:lvl w:ilvl="0" w:tplc="FB3A65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9E464B6"/>
    <w:multiLevelType w:val="multilevel"/>
    <w:tmpl w:val="83281B02"/>
    <w:lvl w:ilvl="0">
      <w:start w:val="1"/>
      <w:numFmt w:val="decimal"/>
      <w:pStyle w:val="Titolo1"/>
      <w:lvlText w:val="%1"/>
      <w:lvlJc w:val="left"/>
      <w:pPr>
        <w:ind w:left="432" w:hanging="432"/>
      </w:pPr>
    </w:lvl>
    <w:lvl w:ilvl="1">
      <w:start w:val="1"/>
      <w:numFmt w:val="decimal"/>
      <w:lvlText w:val="%1.%2"/>
      <w:lvlJc w:val="left"/>
      <w:pPr>
        <w:ind w:left="576" w:hanging="576"/>
      </w:pPr>
      <w:rPr>
        <w:rFonts w:ascii="Trebuchet MS" w:hAnsi="Trebuchet MS" w:hint="default"/>
        <w:b/>
        <w:i w:val="0"/>
        <w:sz w:val="20"/>
        <w:szCs w:val="20"/>
      </w:rPr>
    </w:lvl>
    <w:lvl w:ilvl="2">
      <w:start w:val="1"/>
      <w:numFmt w:val="decimal"/>
      <w:pStyle w:val="Titolo3"/>
      <w:lvlText w:val="%1.%2.%3"/>
      <w:lvlJc w:val="left"/>
      <w:pPr>
        <w:ind w:left="720" w:hanging="720"/>
      </w:pPr>
      <w:rPr>
        <w:i w:val="0"/>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14"/>
  </w:num>
  <w:num w:numId="2">
    <w:abstractNumId w:val="0"/>
  </w:num>
  <w:num w:numId="3">
    <w:abstractNumId w:val="9"/>
  </w:num>
  <w:num w:numId="4">
    <w:abstractNumId w:val="4"/>
  </w:num>
  <w:num w:numId="5">
    <w:abstractNumId w:val="12"/>
  </w:num>
  <w:num w:numId="6">
    <w:abstractNumId w:val="8"/>
  </w:num>
  <w:num w:numId="7">
    <w:abstractNumId w:val="7"/>
  </w:num>
  <w:num w:numId="8">
    <w:abstractNumId w:val="3"/>
  </w:num>
  <w:num w:numId="9">
    <w:abstractNumId w:val="5"/>
  </w:num>
  <w:num w:numId="10">
    <w:abstractNumId w:val="1"/>
  </w:num>
  <w:num w:numId="11">
    <w:abstractNumId w:val="10"/>
  </w:num>
  <w:num w:numId="12">
    <w:abstractNumId w:val="13"/>
  </w:num>
  <w:num w:numId="13">
    <w:abstractNumId w:val="6"/>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0"/>
    <w:footnote w:id="1"/>
  </w:footnotePr>
  <w:endnotePr>
    <w:endnote w:id="0"/>
    <w:endnote w:id="1"/>
  </w:endnotePr>
  <w:compat/>
  <w:rsids>
    <w:rsidRoot w:val="003E7E53"/>
    <w:rsid w:val="00035670"/>
    <w:rsid w:val="000702C9"/>
    <w:rsid w:val="00077535"/>
    <w:rsid w:val="00083B60"/>
    <w:rsid w:val="00086D10"/>
    <w:rsid w:val="00087E80"/>
    <w:rsid w:val="00095510"/>
    <w:rsid w:val="000A3C19"/>
    <w:rsid w:val="000B7261"/>
    <w:rsid w:val="001319D6"/>
    <w:rsid w:val="00133268"/>
    <w:rsid w:val="00166C54"/>
    <w:rsid w:val="001965C9"/>
    <w:rsid w:val="001B1862"/>
    <w:rsid w:val="001D273E"/>
    <w:rsid w:val="001D4E6E"/>
    <w:rsid w:val="001E009C"/>
    <w:rsid w:val="001F21EF"/>
    <w:rsid w:val="001F7735"/>
    <w:rsid w:val="00201EAE"/>
    <w:rsid w:val="002606E3"/>
    <w:rsid w:val="002A2FDE"/>
    <w:rsid w:val="002A5848"/>
    <w:rsid w:val="002A5A81"/>
    <w:rsid w:val="002D7436"/>
    <w:rsid w:val="002E10F2"/>
    <w:rsid w:val="002E3431"/>
    <w:rsid w:val="00305607"/>
    <w:rsid w:val="00364AE8"/>
    <w:rsid w:val="003A0E59"/>
    <w:rsid w:val="003A5A75"/>
    <w:rsid w:val="003B233C"/>
    <w:rsid w:val="003D2624"/>
    <w:rsid w:val="003E4A0D"/>
    <w:rsid w:val="003E7E53"/>
    <w:rsid w:val="00416A81"/>
    <w:rsid w:val="00417B43"/>
    <w:rsid w:val="004303E9"/>
    <w:rsid w:val="004719F4"/>
    <w:rsid w:val="004753A5"/>
    <w:rsid w:val="00480137"/>
    <w:rsid w:val="00487173"/>
    <w:rsid w:val="004A0109"/>
    <w:rsid w:val="004D062F"/>
    <w:rsid w:val="004D0F0D"/>
    <w:rsid w:val="004D3AF7"/>
    <w:rsid w:val="004F6FFB"/>
    <w:rsid w:val="00504D06"/>
    <w:rsid w:val="0053659C"/>
    <w:rsid w:val="00542BD3"/>
    <w:rsid w:val="00557425"/>
    <w:rsid w:val="005627F5"/>
    <w:rsid w:val="005A23F0"/>
    <w:rsid w:val="005A7385"/>
    <w:rsid w:val="005B0E53"/>
    <w:rsid w:val="005B281E"/>
    <w:rsid w:val="005B429A"/>
    <w:rsid w:val="005B7ADB"/>
    <w:rsid w:val="005C0CA6"/>
    <w:rsid w:val="005C3920"/>
    <w:rsid w:val="005C3937"/>
    <w:rsid w:val="005D4C3C"/>
    <w:rsid w:val="0060392B"/>
    <w:rsid w:val="00630187"/>
    <w:rsid w:val="00654DF1"/>
    <w:rsid w:val="0065700A"/>
    <w:rsid w:val="006819AF"/>
    <w:rsid w:val="00687B6C"/>
    <w:rsid w:val="006C19D4"/>
    <w:rsid w:val="006C6B3E"/>
    <w:rsid w:val="006D2297"/>
    <w:rsid w:val="006F2F6E"/>
    <w:rsid w:val="00715153"/>
    <w:rsid w:val="00721A91"/>
    <w:rsid w:val="00732671"/>
    <w:rsid w:val="0075189A"/>
    <w:rsid w:val="0075713F"/>
    <w:rsid w:val="007E25AB"/>
    <w:rsid w:val="007E5399"/>
    <w:rsid w:val="0082446D"/>
    <w:rsid w:val="00852F74"/>
    <w:rsid w:val="00886DD7"/>
    <w:rsid w:val="008A18BD"/>
    <w:rsid w:val="008E37A9"/>
    <w:rsid w:val="008F31BD"/>
    <w:rsid w:val="009108E5"/>
    <w:rsid w:val="0092170A"/>
    <w:rsid w:val="00927782"/>
    <w:rsid w:val="00931138"/>
    <w:rsid w:val="0095104C"/>
    <w:rsid w:val="00960A9B"/>
    <w:rsid w:val="009621AE"/>
    <w:rsid w:val="00963451"/>
    <w:rsid w:val="009A7B8C"/>
    <w:rsid w:val="009C230C"/>
    <w:rsid w:val="009D6FD2"/>
    <w:rsid w:val="00A2108C"/>
    <w:rsid w:val="00A30EC1"/>
    <w:rsid w:val="00A354E0"/>
    <w:rsid w:val="00A521B6"/>
    <w:rsid w:val="00A758F3"/>
    <w:rsid w:val="00A80719"/>
    <w:rsid w:val="00A96307"/>
    <w:rsid w:val="00AA0F4E"/>
    <w:rsid w:val="00AC275E"/>
    <w:rsid w:val="00AE339D"/>
    <w:rsid w:val="00AF0917"/>
    <w:rsid w:val="00AF7B74"/>
    <w:rsid w:val="00B061A7"/>
    <w:rsid w:val="00B32248"/>
    <w:rsid w:val="00B52BE4"/>
    <w:rsid w:val="00B73EA7"/>
    <w:rsid w:val="00BA239A"/>
    <w:rsid w:val="00BA2975"/>
    <w:rsid w:val="00BC4BF1"/>
    <w:rsid w:val="00BE3011"/>
    <w:rsid w:val="00C24F90"/>
    <w:rsid w:val="00C73F65"/>
    <w:rsid w:val="00C815D4"/>
    <w:rsid w:val="00C83689"/>
    <w:rsid w:val="00CA752D"/>
    <w:rsid w:val="00CC4459"/>
    <w:rsid w:val="00CC4C92"/>
    <w:rsid w:val="00CC65AE"/>
    <w:rsid w:val="00CE13DE"/>
    <w:rsid w:val="00D1606A"/>
    <w:rsid w:val="00D35A0F"/>
    <w:rsid w:val="00D735B7"/>
    <w:rsid w:val="00D77D89"/>
    <w:rsid w:val="00D96248"/>
    <w:rsid w:val="00D96F9D"/>
    <w:rsid w:val="00DB028E"/>
    <w:rsid w:val="00DB04F2"/>
    <w:rsid w:val="00DC3B66"/>
    <w:rsid w:val="00DD4D15"/>
    <w:rsid w:val="00DF257A"/>
    <w:rsid w:val="00DF7432"/>
    <w:rsid w:val="00E0577A"/>
    <w:rsid w:val="00E2446C"/>
    <w:rsid w:val="00E422FC"/>
    <w:rsid w:val="00E4484F"/>
    <w:rsid w:val="00E515C7"/>
    <w:rsid w:val="00E87262"/>
    <w:rsid w:val="00E910F3"/>
    <w:rsid w:val="00E932D0"/>
    <w:rsid w:val="00EA1FD6"/>
    <w:rsid w:val="00EB14ED"/>
    <w:rsid w:val="00EC1328"/>
    <w:rsid w:val="00ED0F45"/>
    <w:rsid w:val="00ED521A"/>
    <w:rsid w:val="00EE4040"/>
    <w:rsid w:val="00EE45DD"/>
    <w:rsid w:val="00F32723"/>
    <w:rsid w:val="00F477F4"/>
    <w:rsid w:val="00F56C2A"/>
    <w:rsid w:val="00FF6D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4A0D"/>
    <w:pPr>
      <w:spacing w:after="0" w:line="240" w:lineRule="auto"/>
    </w:pPr>
    <w:rPr>
      <w:rFonts w:ascii="Times New Roman" w:eastAsia="Times New Roman" w:hAnsi="Times New Roman" w:cs="Times New Roman"/>
      <w:sz w:val="24"/>
      <w:szCs w:val="24"/>
      <w:lang w:eastAsia="it-IT"/>
    </w:rPr>
  </w:style>
  <w:style w:type="paragraph" w:styleId="Titolo1">
    <w:name w:val="heading 1"/>
    <w:aliases w:val="1 ghost,g"/>
    <w:basedOn w:val="Normale"/>
    <w:next w:val="Normale"/>
    <w:link w:val="Titolo1Carattere"/>
    <w:qFormat/>
    <w:rsid w:val="005C0CA6"/>
    <w:pPr>
      <w:widowControl w:val="0"/>
      <w:numPr>
        <w:numId w:val="1"/>
      </w:numPr>
      <w:spacing w:line="300" w:lineRule="exact"/>
      <w:outlineLvl w:val="0"/>
    </w:pPr>
    <w:rPr>
      <w:rFonts w:ascii="Trebuchet MS" w:hAnsi="Trebuchet MS" w:cs="Trebuchet MS"/>
      <w:b/>
      <w:caps/>
      <w:kern w:val="2"/>
      <w:szCs w:val="20"/>
    </w:rPr>
  </w:style>
  <w:style w:type="paragraph" w:styleId="Titolo3">
    <w:name w:val="heading 3"/>
    <w:aliases w:val="Table Attribute Heading,3 bullet,b1,2"/>
    <w:basedOn w:val="Normale"/>
    <w:next w:val="Normale"/>
    <w:link w:val="Titolo3Carattere"/>
    <w:qFormat/>
    <w:rsid w:val="005C0CA6"/>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5C0CA6"/>
    <w:pPr>
      <w:keepNext/>
      <w:numPr>
        <w:ilvl w:val="3"/>
        <w:numId w:val="1"/>
      </w:numPr>
      <w:spacing w:before="240" w:after="60"/>
      <w:outlineLvl w:val="3"/>
    </w:pPr>
    <w:rPr>
      <w:b/>
      <w:bCs/>
      <w:sz w:val="28"/>
      <w:szCs w:val="28"/>
    </w:rPr>
  </w:style>
  <w:style w:type="paragraph" w:styleId="Titolo5">
    <w:name w:val="heading 5"/>
    <w:aliases w:val="5 sub-bullet,sb,4"/>
    <w:basedOn w:val="Normale"/>
    <w:next w:val="Normale"/>
    <w:link w:val="Titolo5Carattere"/>
    <w:qFormat/>
    <w:rsid w:val="005C0CA6"/>
    <w:pPr>
      <w:keepNext/>
      <w:numPr>
        <w:ilvl w:val="4"/>
        <w:numId w:val="1"/>
      </w:numPr>
      <w:jc w:val="both"/>
      <w:outlineLvl w:val="4"/>
    </w:pPr>
    <w:rPr>
      <w:rFonts w:ascii="Garamond" w:hAnsi="Garamond"/>
      <w:b/>
      <w:bCs/>
      <w:i/>
      <w:iCs/>
    </w:rPr>
  </w:style>
  <w:style w:type="paragraph" w:styleId="Titolo6">
    <w:name w:val="heading 6"/>
    <w:basedOn w:val="Normale"/>
    <w:next w:val="Normale"/>
    <w:link w:val="Titolo6Carattere"/>
    <w:qFormat/>
    <w:rsid w:val="005C0CA6"/>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5C0CA6"/>
    <w:pPr>
      <w:widowControl w:val="0"/>
      <w:numPr>
        <w:ilvl w:val="6"/>
        <w:numId w:val="1"/>
      </w:numPr>
      <w:spacing w:before="240" w:after="60" w:line="300" w:lineRule="exact"/>
      <w:jc w:val="both"/>
      <w:outlineLvl w:val="6"/>
    </w:pPr>
    <w:rPr>
      <w:rFonts w:ascii="Calibri" w:hAnsi="Calibri"/>
    </w:rPr>
  </w:style>
  <w:style w:type="paragraph" w:styleId="Titolo8">
    <w:name w:val="heading 8"/>
    <w:basedOn w:val="Normale"/>
    <w:next w:val="Normale"/>
    <w:link w:val="Titolo8Carattere"/>
    <w:uiPriority w:val="9"/>
    <w:semiHidden/>
    <w:unhideWhenUsed/>
    <w:qFormat/>
    <w:rsid w:val="005C0CA6"/>
    <w:pPr>
      <w:widowControl w:val="0"/>
      <w:numPr>
        <w:ilvl w:val="7"/>
        <w:numId w:val="1"/>
      </w:numPr>
      <w:spacing w:before="240" w:after="60" w:line="300" w:lineRule="exact"/>
      <w:jc w:val="both"/>
      <w:outlineLvl w:val="7"/>
    </w:pPr>
    <w:rPr>
      <w:rFonts w:ascii="Calibri" w:hAnsi="Calibri"/>
      <w:i/>
      <w:iCs/>
    </w:rPr>
  </w:style>
  <w:style w:type="paragraph" w:styleId="Titolo9">
    <w:name w:val="heading 9"/>
    <w:basedOn w:val="Normale"/>
    <w:next w:val="Normale"/>
    <w:link w:val="Titolo9Carattere"/>
    <w:qFormat/>
    <w:rsid w:val="005C0CA6"/>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4A0D"/>
    <w:rPr>
      <w:color w:val="0000FF" w:themeColor="hyperlink"/>
      <w:u w:val="single"/>
    </w:rPr>
  </w:style>
  <w:style w:type="paragraph" w:customStyle="1" w:styleId="Carattere">
    <w:name w:val="Carattere"/>
    <w:basedOn w:val="Normale"/>
    <w:rsid w:val="001965C9"/>
    <w:pPr>
      <w:ind w:left="567"/>
    </w:pPr>
    <w:rPr>
      <w:rFonts w:ascii="Arial" w:hAnsi="Arial"/>
    </w:rPr>
  </w:style>
  <w:style w:type="character" w:customStyle="1" w:styleId="apple-style-span">
    <w:name w:val="apple-style-span"/>
    <w:basedOn w:val="Carpredefinitoparagrafo"/>
    <w:rsid w:val="00A30EC1"/>
  </w:style>
  <w:style w:type="character" w:customStyle="1" w:styleId="apple-converted-space">
    <w:name w:val="apple-converted-space"/>
    <w:basedOn w:val="Carpredefinitoparagrafo"/>
    <w:rsid w:val="00A30EC1"/>
  </w:style>
  <w:style w:type="paragraph" w:customStyle="1" w:styleId="Carattere0">
    <w:name w:val="Carattere"/>
    <w:basedOn w:val="Normale"/>
    <w:rsid w:val="00C815D4"/>
    <w:pPr>
      <w:ind w:left="567"/>
    </w:pPr>
    <w:rPr>
      <w:rFonts w:ascii="Arial" w:hAnsi="Arial"/>
    </w:rPr>
  </w:style>
  <w:style w:type="paragraph" w:styleId="Testonormale">
    <w:name w:val="Plain Text"/>
    <w:basedOn w:val="Normale"/>
    <w:link w:val="TestonormaleCarattere"/>
    <w:uiPriority w:val="99"/>
    <w:semiHidden/>
    <w:rsid w:val="00654DF1"/>
    <w:rPr>
      <w:rFonts w:ascii="Calibri" w:hAnsi="Calibri" w:cs="Calibri"/>
      <w:sz w:val="22"/>
      <w:szCs w:val="22"/>
      <w:lang w:eastAsia="en-US"/>
    </w:rPr>
  </w:style>
  <w:style w:type="character" w:customStyle="1" w:styleId="TestonormaleCarattere">
    <w:name w:val="Testo normale Carattere"/>
    <w:basedOn w:val="Carpredefinitoparagrafo"/>
    <w:link w:val="Testonormale"/>
    <w:uiPriority w:val="99"/>
    <w:semiHidden/>
    <w:rsid w:val="00654DF1"/>
    <w:rPr>
      <w:rFonts w:ascii="Calibri" w:eastAsia="Times New Roman" w:hAnsi="Calibri" w:cs="Calibri"/>
    </w:rPr>
  </w:style>
  <w:style w:type="character" w:customStyle="1" w:styleId="Titolo1Carattere">
    <w:name w:val="Titolo 1 Carattere"/>
    <w:aliases w:val="1 ghost Carattere,g Carattere"/>
    <w:basedOn w:val="Carpredefinitoparagrafo"/>
    <w:link w:val="Titolo1"/>
    <w:rsid w:val="005C0CA6"/>
    <w:rPr>
      <w:rFonts w:ascii="Trebuchet MS" w:eastAsia="Times New Roman" w:hAnsi="Trebuchet MS" w:cs="Trebuchet MS"/>
      <w:b/>
      <w:caps/>
      <w:kern w:val="2"/>
      <w:sz w:val="24"/>
      <w:szCs w:val="20"/>
      <w:lang w:eastAsia="it-IT"/>
    </w:rPr>
  </w:style>
  <w:style w:type="character" w:customStyle="1" w:styleId="Titolo3Carattere">
    <w:name w:val="Titolo 3 Carattere"/>
    <w:aliases w:val="Table Attribute Heading Carattere,3 bullet Carattere,b1 Carattere,2 Carattere"/>
    <w:basedOn w:val="Carpredefinitoparagrafo"/>
    <w:link w:val="Titolo3"/>
    <w:rsid w:val="005C0CA6"/>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5C0CA6"/>
    <w:rPr>
      <w:rFonts w:ascii="Times New Roman" w:eastAsia="Times New Roman" w:hAnsi="Times New Roman" w:cs="Times New Roman"/>
      <w:b/>
      <w:bCs/>
      <w:sz w:val="28"/>
      <w:szCs w:val="28"/>
      <w:lang w:eastAsia="it-IT"/>
    </w:rPr>
  </w:style>
  <w:style w:type="character" w:customStyle="1" w:styleId="Titolo5Carattere">
    <w:name w:val="Titolo 5 Carattere"/>
    <w:aliases w:val="5 sub-bullet Carattere,sb Carattere,4 Carattere"/>
    <w:basedOn w:val="Carpredefinitoparagrafo"/>
    <w:link w:val="Titolo5"/>
    <w:rsid w:val="005C0CA6"/>
    <w:rPr>
      <w:rFonts w:ascii="Garamond" w:eastAsia="Times New Roman" w:hAnsi="Garamond" w:cs="Times New Roman"/>
      <w:b/>
      <w:bCs/>
      <w:i/>
      <w:iCs/>
      <w:sz w:val="24"/>
      <w:szCs w:val="24"/>
      <w:lang w:eastAsia="it-IT"/>
    </w:rPr>
  </w:style>
  <w:style w:type="character" w:customStyle="1" w:styleId="Titolo6Carattere">
    <w:name w:val="Titolo 6 Carattere"/>
    <w:basedOn w:val="Carpredefinitoparagrafo"/>
    <w:link w:val="Titolo6"/>
    <w:rsid w:val="005C0CA6"/>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uiPriority w:val="9"/>
    <w:semiHidden/>
    <w:rsid w:val="005C0CA6"/>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uiPriority w:val="9"/>
    <w:semiHidden/>
    <w:rsid w:val="005C0CA6"/>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rsid w:val="005C0CA6"/>
    <w:rPr>
      <w:rFonts w:ascii="Arial" w:eastAsia="Times New Roman" w:hAnsi="Arial" w:cs="Arial"/>
      <w:lang w:eastAsia="it-IT"/>
    </w:rPr>
  </w:style>
  <w:style w:type="character" w:customStyle="1" w:styleId="NormalePCM">
    <w:name w:val="Normale PCM"/>
    <w:rsid w:val="009D6FD2"/>
    <w:rPr>
      <w:rFonts w:ascii="Verdana" w:hAnsi="Verdana"/>
      <w:sz w:val="22"/>
    </w:rPr>
  </w:style>
  <w:style w:type="paragraph" w:customStyle="1" w:styleId="Default">
    <w:name w:val="Default"/>
    <w:rsid w:val="009D6FD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BC4BF1"/>
    <w:pPr>
      <w:ind w:left="708"/>
    </w:pPr>
  </w:style>
  <w:style w:type="paragraph" w:styleId="Intestazione">
    <w:name w:val="header"/>
    <w:basedOn w:val="Normale"/>
    <w:link w:val="IntestazioneCarattere"/>
    <w:uiPriority w:val="99"/>
    <w:unhideWhenUsed/>
    <w:rsid w:val="00166C54"/>
    <w:pPr>
      <w:tabs>
        <w:tab w:val="center" w:pos="4819"/>
        <w:tab w:val="right" w:pos="9638"/>
      </w:tabs>
    </w:pPr>
  </w:style>
  <w:style w:type="character" w:customStyle="1" w:styleId="IntestazioneCarattere">
    <w:name w:val="Intestazione Carattere"/>
    <w:basedOn w:val="Carpredefinitoparagrafo"/>
    <w:link w:val="Intestazione"/>
    <w:uiPriority w:val="99"/>
    <w:rsid w:val="00166C5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66C54"/>
    <w:pPr>
      <w:tabs>
        <w:tab w:val="center" w:pos="4819"/>
        <w:tab w:val="right" w:pos="9638"/>
      </w:tabs>
    </w:pPr>
  </w:style>
  <w:style w:type="character" w:customStyle="1" w:styleId="PidipaginaCarattere">
    <w:name w:val="Piè di pagina Carattere"/>
    <w:basedOn w:val="Carpredefinitoparagrafo"/>
    <w:link w:val="Pidipagina"/>
    <w:uiPriority w:val="99"/>
    <w:rsid w:val="00166C54"/>
    <w:rPr>
      <w:rFonts w:ascii="Times New Roman" w:eastAsia="Times New Roman" w:hAnsi="Times New Roman" w:cs="Times New Roman"/>
      <w:sz w:val="24"/>
      <w:szCs w:val="24"/>
      <w:lang w:eastAsia="it-IT"/>
    </w:rPr>
  </w:style>
  <w:style w:type="paragraph" w:styleId="Numeroelenco">
    <w:name w:val="List Number"/>
    <w:basedOn w:val="Normale"/>
    <w:unhideWhenUsed/>
    <w:rsid w:val="00BE3011"/>
    <w:pPr>
      <w:widowControl w:val="0"/>
      <w:tabs>
        <w:tab w:val="num" w:pos="360"/>
      </w:tabs>
      <w:spacing w:line="520" w:lineRule="exact"/>
      <w:ind w:left="357" w:hanging="357"/>
      <w:jc w:val="both"/>
    </w:pPr>
    <w:rPr>
      <w:rFonts w:ascii="Trebuchet MS" w:hAnsi="Trebuchet MS"/>
      <w:sz w:val="20"/>
      <w:szCs w:val="20"/>
    </w:rPr>
  </w:style>
  <w:style w:type="paragraph" w:customStyle="1" w:styleId="Paragrafoelenco1">
    <w:name w:val="Paragrafo elenco1"/>
    <w:basedOn w:val="Normale"/>
    <w:uiPriority w:val="99"/>
    <w:rsid w:val="004753A5"/>
    <w:pPr>
      <w:ind w:left="720"/>
      <w:contextualSpacing/>
    </w:pPr>
    <w:rPr>
      <w:rFonts w:eastAsia="Calibri"/>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4A0D"/>
    <w:pPr>
      <w:spacing w:after="0" w:line="240" w:lineRule="auto"/>
    </w:pPr>
    <w:rPr>
      <w:rFonts w:ascii="Times New Roman" w:eastAsia="Times New Roman" w:hAnsi="Times New Roman" w:cs="Times New Roman"/>
      <w:sz w:val="24"/>
      <w:szCs w:val="24"/>
      <w:lang w:eastAsia="it-IT"/>
    </w:rPr>
  </w:style>
  <w:style w:type="paragraph" w:styleId="Titolo1">
    <w:name w:val="heading 1"/>
    <w:aliases w:val="1 ghost,g"/>
    <w:basedOn w:val="Normale"/>
    <w:next w:val="Normale"/>
    <w:link w:val="Titolo1Carattere"/>
    <w:qFormat/>
    <w:rsid w:val="005C0CA6"/>
    <w:pPr>
      <w:widowControl w:val="0"/>
      <w:numPr>
        <w:numId w:val="1"/>
      </w:numPr>
      <w:spacing w:line="300" w:lineRule="exact"/>
      <w:outlineLvl w:val="0"/>
    </w:pPr>
    <w:rPr>
      <w:rFonts w:ascii="Trebuchet MS" w:hAnsi="Trebuchet MS" w:cs="Trebuchet MS"/>
      <w:b/>
      <w:caps/>
      <w:kern w:val="2"/>
      <w:szCs w:val="20"/>
    </w:rPr>
  </w:style>
  <w:style w:type="paragraph" w:styleId="Titolo3">
    <w:name w:val="heading 3"/>
    <w:aliases w:val="Table Attribute Heading,3 bullet,b1,2"/>
    <w:basedOn w:val="Normale"/>
    <w:next w:val="Normale"/>
    <w:link w:val="Titolo3Carattere"/>
    <w:qFormat/>
    <w:rsid w:val="005C0CA6"/>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5C0CA6"/>
    <w:pPr>
      <w:keepNext/>
      <w:numPr>
        <w:ilvl w:val="3"/>
        <w:numId w:val="1"/>
      </w:numPr>
      <w:spacing w:before="240" w:after="60"/>
      <w:outlineLvl w:val="3"/>
    </w:pPr>
    <w:rPr>
      <w:b/>
      <w:bCs/>
      <w:sz w:val="28"/>
      <w:szCs w:val="28"/>
    </w:rPr>
  </w:style>
  <w:style w:type="paragraph" w:styleId="Titolo5">
    <w:name w:val="heading 5"/>
    <w:aliases w:val="5 sub-bullet,sb,4"/>
    <w:basedOn w:val="Normale"/>
    <w:next w:val="Normale"/>
    <w:link w:val="Titolo5Carattere"/>
    <w:qFormat/>
    <w:rsid w:val="005C0CA6"/>
    <w:pPr>
      <w:keepNext/>
      <w:numPr>
        <w:ilvl w:val="4"/>
        <w:numId w:val="1"/>
      </w:numPr>
      <w:jc w:val="both"/>
      <w:outlineLvl w:val="4"/>
    </w:pPr>
    <w:rPr>
      <w:rFonts w:ascii="Garamond" w:hAnsi="Garamond"/>
      <w:b/>
      <w:bCs/>
      <w:i/>
      <w:iCs/>
    </w:rPr>
  </w:style>
  <w:style w:type="paragraph" w:styleId="Titolo6">
    <w:name w:val="heading 6"/>
    <w:basedOn w:val="Normale"/>
    <w:next w:val="Normale"/>
    <w:link w:val="Titolo6Carattere"/>
    <w:qFormat/>
    <w:rsid w:val="005C0CA6"/>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5C0CA6"/>
    <w:pPr>
      <w:widowControl w:val="0"/>
      <w:numPr>
        <w:ilvl w:val="6"/>
        <w:numId w:val="1"/>
      </w:numPr>
      <w:spacing w:before="240" w:after="60" w:line="300" w:lineRule="exact"/>
      <w:jc w:val="both"/>
      <w:outlineLvl w:val="6"/>
    </w:pPr>
    <w:rPr>
      <w:rFonts w:ascii="Calibri" w:hAnsi="Calibri"/>
    </w:rPr>
  </w:style>
  <w:style w:type="paragraph" w:styleId="Titolo8">
    <w:name w:val="heading 8"/>
    <w:basedOn w:val="Normale"/>
    <w:next w:val="Normale"/>
    <w:link w:val="Titolo8Carattere"/>
    <w:uiPriority w:val="9"/>
    <w:semiHidden/>
    <w:unhideWhenUsed/>
    <w:qFormat/>
    <w:rsid w:val="005C0CA6"/>
    <w:pPr>
      <w:widowControl w:val="0"/>
      <w:numPr>
        <w:ilvl w:val="7"/>
        <w:numId w:val="1"/>
      </w:numPr>
      <w:spacing w:before="240" w:after="60" w:line="300" w:lineRule="exact"/>
      <w:jc w:val="both"/>
      <w:outlineLvl w:val="7"/>
    </w:pPr>
    <w:rPr>
      <w:rFonts w:ascii="Calibri" w:hAnsi="Calibri"/>
      <w:i/>
      <w:iCs/>
    </w:rPr>
  </w:style>
  <w:style w:type="paragraph" w:styleId="Titolo9">
    <w:name w:val="heading 9"/>
    <w:basedOn w:val="Normale"/>
    <w:next w:val="Normale"/>
    <w:link w:val="Titolo9Carattere"/>
    <w:qFormat/>
    <w:rsid w:val="005C0CA6"/>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4A0D"/>
    <w:rPr>
      <w:color w:val="0000FF" w:themeColor="hyperlink"/>
      <w:u w:val="single"/>
    </w:rPr>
  </w:style>
  <w:style w:type="paragraph" w:customStyle="1" w:styleId="Carattere">
    <w:name w:val="Carattere"/>
    <w:basedOn w:val="Normale"/>
    <w:rsid w:val="001965C9"/>
    <w:pPr>
      <w:ind w:left="567"/>
    </w:pPr>
    <w:rPr>
      <w:rFonts w:ascii="Arial" w:hAnsi="Arial"/>
    </w:rPr>
  </w:style>
  <w:style w:type="character" w:customStyle="1" w:styleId="apple-style-span">
    <w:name w:val="apple-style-span"/>
    <w:basedOn w:val="Carpredefinitoparagrafo"/>
    <w:rsid w:val="00A30EC1"/>
  </w:style>
  <w:style w:type="character" w:customStyle="1" w:styleId="apple-converted-space">
    <w:name w:val="apple-converted-space"/>
    <w:basedOn w:val="Carpredefinitoparagrafo"/>
    <w:rsid w:val="00A30EC1"/>
  </w:style>
  <w:style w:type="paragraph" w:customStyle="1" w:styleId="Carattere0">
    <w:name w:val="Carattere"/>
    <w:basedOn w:val="Normale"/>
    <w:rsid w:val="00C815D4"/>
    <w:pPr>
      <w:ind w:left="567"/>
    </w:pPr>
    <w:rPr>
      <w:rFonts w:ascii="Arial" w:hAnsi="Arial"/>
    </w:rPr>
  </w:style>
  <w:style w:type="paragraph" w:styleId="Testonormale">
    <w:name w:val="Plain Text"/>
    <w:basedOn w:val="Normale"/>
    <w:link w:val="TestonormaleCarattere"/>
    <w:uiPriority w:val="99"/>
    <w:semiHidden/>
    <w:rsid w:val="00654DF1"/>
    <w:rPr>
      <w:rFonts w:ascii="Calibri" w:hAnsi="Calibri" w:cs="Calibri"/>
      <w:sz w:val="22"/>
      <w:szCs w:val="22"/>
      <w:lang w:eastAsia="en-US"/>
    </w:rPr>
  </w:style>
  <w:style w:type="character" w:customStyle="1" w:styleId="TestonormaleCarattere">
    <w:name w:val="Testo normale Carattere"/>
    <w:basedOn w:val="Carpredefinitoparagrafo"/>
    <w:link w:val="Testonormale"/>
    <w:uiPriority w:val="99"/>
    <w:semiHidden/>
    <w:rsid w:val="00654DF1"/>
    <w:rPr>
      <w:rFonts w:ascii="Calibri" w:eastAsia="Times New Roman" w:hAnsi="Calibri" w:cs="Calibri"/>
    </w:rPr>
  </w:style>
  <w:style w:type="character" w:customStyle="1" w:styleId="Titolo1Carattere">
    <w:name w:val="Titolo 1 Carattere"/>
    <w:aliases w:val="1 ghost Carattere,g Carattere"/>
    <w:basedOn w:val="Carpredefinitoparagrafo"/>
    <w:link w:val="Titolo1"/>
    <w:rsid w:val="005C0CA6"/>
    <w:rPr>
      <w:rFonts w:ascii="Trebuchet MS" w:eastAsia="Times New Roman" w:hAnsi="Trebuchet MS" w:cs="Trebuchet MS"/>
      <w:b/>
      <w:caps/>
      <w:kern w:val="2"/>
      <w:sz w:val="24"/>
      <w:szCs w:val="20"/>
      <w:lang w:eastAsia="it-IT"/>
    </w:rPr>
  </w:style>
  <w:style w:type="character" w:customStyle="1" w:styleId="Titolo3Carattere">
    <w:name w:val="Titolo 3 Carattere"/>
    <w:aliases w:val="Table Attribute Heading Carattere,3 bullet Carattere,b1 Carattere,2 Carattere"/>
    <w:basedOn w:val="Carpredefinitoparagrafo"/>
    <w:link w:val="Titolo3"/>
    <w:rsid w:val="005C0CA6"/>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5C0CA6"/>
    <w:rPr>
      <w:rFonts w:ascii="Times New Roman" w:eastAsia="Times New Roman" w:hAnsi="Times New Roman" w:cs="Times New Roman"/>
      <w:b/>
      <w:bCs/>
      <w:sz w:val="28"/>
      <w:szCs w:val="28"/>
      <w:lang w:eastAsia="it-IT"/>
    </w:rPr>
  </w:style>
  <w:style w:type="character" w:customStyle="1" w:styleId="Titolo5Carattere">
    <w:name w:val="Titolo 5 Carattere"/>
    <w:aliases w:val="5 sub-bullet Carattere,sb Carattere,4 Carattere"/>
    <w:basedOn w:val="Carpredefinitoparagrafo"/>
    <w:link w:val="Titolo5"/>
    <w:rsid w:val="005C0CA6"/>
    <w:rPr>
      <w:rFonts w:ascii="Garamond" w:eastAsia="Times New Roman" w:hAnsi="Garamond" w:cs="Times New Roman"/>
      <w:b/>
      <w:bCs/>
      <w:i/>
      <w:iCs/>
      <w:sz w:val="24"/>
      <w:szCs w:val="24"/>
      <w:lang w:eastAsia="it-IT"/>
    </w:rPr>
  </w:style>
  <w:style w:type="character" w:customStyle="1" w:styleId="Titolo6Carattere">
    <w:name w:val="Titolo 6 Carattere"/>
    <w:basedOn w:val="Carpredefinitoparagrafo"/>
    <w:link w:val="Titolo6"/>
    <w:rsid w:val="005C0CA6"/>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uiPriority w:val="9"/>
    <w:semiHidden/>
    <w:rsid w:val="005C0CA6"/>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uiPriority w:val="9"/>
    <w:semiHidden/>
    <w:rsid w:val="005C0CA6"/>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rsid w:val="005C0CA6"/>
    <w:rPr>
      <w:rFonts w:ascii="Arial" w:eastAsia="Times New Roman" w:hAnsi="Arial" w:cs="Arial"/>
      <w:lang w:eastAsia="it-IT"/>
    </w:rPr>
  </w:style>
  <w:style w:type="character" w:customStyle="1" w:styleId="NormalePCM">
    <w:name w:val="Normale PCM"/>
    <w:rsid w:val="009D6FD2"/>
    <w:rPr>
      <w:rFonts w:ascii="Verdana" w:hAnsi="Verdana"/>
      <w:sz w:val="22"/>
    </w:rPr>
  </w:style>
  <w:style w:type="paragraph" w:customStyle="1" w:styleId="Default">
    <w:name w:val="Default"/>
    <w:rsid w:val="009D6FD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BC4BF1"/>
    <w:pPr>
      <w:ind w:left="708"/>
    </w:pPr>
  </w:style>
  <w:style w:type="paragraph" w:styleId="Intestazione">
    <w:name w:val="header"/>
    <w:basedOn w:val="Normale"/>
    <w:link w:val="IntestazioneCarattere"/>
    <w:uiPriority w:val="99"/>
    <w:unhideWhenUsed/>
    <w:rsid w:val="00166C54"/>
    <w:pPr>
      <w:tabs>
        <w:tab w:val="center" w:pos="4819"/>
        <w:tab w:val="right" w:pos="9638"/>
      </w:tabs>
    </w:pPr>
  </w:style>
  <w:style w:type="character" w:customStyle="1" w:styleId="IntestazioneCarattere">
    <w:name w:val="Intestazione Carattere"/>
    <w:basedOn w:val="Carpredefinitoparagrafo"/>
    <w:link w:val="Intestazione"/>
    <w:uiPriority w:val="99"/>
    <w:rsid w:val="00166C5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66C54"/>
    <w:pPr>
      <w:tabs>
        <w:tab w:val="center" w:pos="4819"/>
        <w:tab w:val="right" w:pos="9638"/>
      </w:tabs>
    </w:pPr>
  </w:style>
  <w:style w:type="character" w:customStyle="1" w:styleId="PidipaginaCarattere">
    <w:name w:val="Piè di pagina Carattere"/>
    <w:basedOn w:val="Carpredefinitoparagrafo"/>
    <w:link w:val="Pidipagina"/>
    <w:uiPriority w:val="99"/>
    <w:rsid w:val="00166C54"/>
    <w:rPr>
      <w:rFonts w:ascii="Times New Roman" w:eastAsia="Times New Roman" w:hAnsi="Times New Roman" w:cs="Times New Roman"/>
      <w:sz w:val="24"/>
      <w:szCs w:val="24"/>
      <w:lang w:eastAsia="it-IT"/>
    </w:rPr>
  </w:style>
  <w:style w:type="paragraph" w:styleId="Numeroelenco">
    <w:name w:val="List Number"/>
    <w:basedOn w:val="Normale"/>
    <w:unhideWhenUsed/>
    <w:rsid w:val="00BE3011"/>
    <w:pPr>
      <w:widowControl w:val="0"/>
      <w:tabs>
        <w:tab w:val="num" w:pos="360"/>
      </w:tabs>
      <w:spacing w:line="520" w:lineRule="exact"/>
      <w:ind w:left="357" w:hanging="357"/>
      <w:jc w:val="both"/>
    </w:pPr>
    <w:rPr>
      <w:rFonts w:ascii="Trebuchet MS" w:hAnsi="Trebuchet MS"/>
      <w:sz w:val="20"/>
      <w:szCs w:val="20"/>
    </w:rPr>
  </w:style>
  <w:style w:type="paragraph" w:customStyle="1" w:styleId="Paragrafoelenco1">
    <w:name w:val="Paragrafo elenco1"/>
    <w:basedOn w:val="Normale"/>
    <w:uiPriority w:val="99"/>
    <w:rsid w:val="004753A5"/>
    <w:pPr>
      <w:ind w:left="720"/>
      <w:contextualSpacing/>
    </w:pPr>
    <w:rPr>
      <w:rFonts w:eastAsia="Calibri"/>
      <w:sz w:val="20"/>
      <w:szCs w:val="20"/>
      <w:lang w:bidi="he-IL"/>
    </w:rPr>
  </w:style>
</w:styles>
</file>

<file path=word/webSettings.xml><?xml version="1.0" encoding="utf-8"?>
<w:webSettings xmlns:r="http://schemas.openxmlformats.org/officeDocument/2006/relationships" xmlns:w="http://schemas.openxmlformats.org/wordprocessingml/2006/main">
  <w:divs>
    <w:div w:id="39331857">
      <w:bodyDiv w:val="1"/>
      <w:marLeft w:val="0"/>
      <w:marRight w:val="0"/>
      <w:marTop w:val="0"/>
      <w:marBottom w:val="0"/>
      <w:divBdr>
        <w:top w:val="none" w:sz="0" w:space="0" w:color="auto"/>
        <w:left w:val="none" w:sz="0" w:space="0" w:color="auto"/>
        <w:bottom w:val="none" w:sz="0" w:space="0" w:color="auto"/>
        <w:right w:val="none" w:sz="0" w:space="0" w:color="auto"/>
      </w:divBdr>
    </w:div>
    <w:div w:id="40793022">
      <w:bodyDiv w:val="1"/>
      <w:marLeft w:val="0"/>
      <w:marRight w:val="0"/>
      <w:marTop w:val="0"/>
      <w:marBottom w:val="0"/>
      <w:divBdr>
        <w:top w:val="none" w:sz="0" w:space="0" w:color="auto"/>
        <w:left w:val="none" w:sz="0" w:space="0" w:color="auto"/>
        <w:bottom w:val="none" w:sz="0" w:space="0" w:color="auto"/>
        <w:right w:val="none" w:sz="0" w:space="0" w:color="auto"/>
      </w:divBdr>
    </w:div>
    <w:div w:id="498741753">
      <w:bodyDiv w:val="1"/>
      <w:marLeft w:val="0"/>
      <w:marRight w:val="0"/>
      <w:marTop w:val="0"/>
      <w:marBottom w:val="0"/>
      <w:divBdr>
        <w:top w:val="none" w:sz="0" w:space="0" w:color="auto"/>
        <w:left w:val="none" w:sz="0" w:space="0" w:color="auto"/>
        <w:bottom w:val="none" w:sz="0" w:space="0" w:color="auto"/>
        <w:right w:val="none" w:sz="0" w:space="0" w:color="auto"/>
      </w:divBdr>
    </w:div>
    <w:div w:id="1020668322">
      <w:bodyDiv w:val="1"/>
      <w:marLeft w:val="0"/>
      <w:marRight w:val="0"/>
      <w:marTop w:val="0"/>
      <w:marBottom w:val="0"/>
      <w:divBdr>
        <w:top w:val="none" w:sz="0" w:space="0" w:color="auto"/>
        <w:left w:val="none" w:sz="0" w:space="0" w:color="auto"/>
        <w:bottom w:val="none" w:sz="0" w:space="0" w:color="auto"/>
        <w:right w:val="none" w:sz="0" w:space="0" w:color="auto"/>
      </w:divBdr>
    </w:div>
    <w:div w:id="1537692089">
      <w:bodyDiv w:val="1"/>
      <w:marLeft w:val="0"/>
      <w:marRight w:val="0"/>
      <w:marTop w:val="0"/>
      <w:marBottom w:val="0"/>
      <w:divBdr>
        <w:top w:val="none" w:sz="0" w:space="0" w:color="auto"/>
        <w:left w:val="none" w:sz="0" w:space="0" w:color="auto"/>
        <w:bottom w:val="none" w:sz="0" w:space="0" w:color="auto"/>
        <w:right w:val="none" w:sz="0" w:space="0" w:color="auto"/>
      </w:divBdr>
    </w:div>
    <w:div w:id="1668053114">
      <w:bodyDiv w:val="1"/>
      <w:marLeft w:val="0"/>
      <w:marRight w:val="0"/>
      <w:marTop w:val="0"/>
      <w:marBottom w:val="0"/>
      <w:divBdr>
        <w:top w:val="none" w:sz="0" w:space="0" w:color="auto"/>
        <w:left w:val="none" w:sz="0" w:space="0" w:color="auto"/>
        <w:bottom w:val="none" w:sz="0" w:space="0" w:color="auto"/>
        <w:right w:val="none" w:sz="0" w:space="0" w:color="auto"/>
      </w:divBdr>
    </w:div>
    <w:div w:id="19914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portal/public/classic/Servizi/ServiziOnline/AVCpas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9FF6-A9B6-42E2-AECB-BB972564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2701</Words>
  <Characters>15402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Xp Professional Sp2b Italiano</cp:lastModifiedBy>
  <cp:revision>2</cp:revision>
  <cp:lastPrinted>2016-12-30T16:37:00Z</cp:lastPrinted>
  <dcterms:created xsi:type="dcterms:W3CDTF">2017-06-28T09:12:00Z</dcterms:created>
  <dcterms:modified xsi:type="dcterms:W3CDTF">2017-06-28T09:12:00Z</dcterms:modified>
</cp:coreProperties>
</file>